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7336"/>
      </w:tblGrid>
      <w:tr w:rsidR="002F3BDA" w:rsidRPr="007914AA" w14:paraId="34C256E1" w14:textId="77777777" w:rsidTr="00AD7B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bottom w:val="none" w:sz="0" w:space="0" w:color="auto"/>
            </w:tcBorders>
          </w:tcPr>
          <w:p w14:paraId="59A929C8" w14:textId="1BD8EB96" w:rsidR="002F3BDA" w:rsidRPr="007914AA" w:rsidRDefault="007914AA" w:rsidP="000C1B96">
            <w:pPr>
              <w:jc w:val="both"/>
            </w:pPr>
            <w:bookmarkStart w:id="0" w:name="_GoBack"/>
            <w:bookmarkEnd w:id="0"/>
            <w:r>
              <w:t>Policy made by:</w:t>
            </w:r>
          </w:p>
        </w:tc>
        <w:tc>
          <w:tcPr>
            <w:tcW w:w="7336" w:type="dxa"/>
            <w:tcBorders>
              <w:bottom w:val="none" w:sz="0" w:space="0" w:color="auto"/>
            </w:tcBorders>
          </w:tcPr>
          <w:p w14:paraId="49B4B64C" w14:textId="77777777" w:rsidR="002F3BDA" w:rsidRPr="007914AA" w:rsidRDefault="002F3BDA" w:rsidP="000C1B9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highlight w:val="yellow"/>
              </w:rPr>
            </w:pPr>
          </w:p>
        </w:tc>
      </w:tr>
      <w:tr w:rsidR="00EC7E5E" w:rsidRPr="007914AA" w14:paraId="3004C07B" w14:textId="77777777" w:rsidTr="00A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1E8BC457" w14:textId="77777777" w:rsidR="00EC7E5E" w:rsidRPr="007914AA" w:rsidRDefault="00EC7E5E" w:rsidP="000C1B96">
            <w:pPr>
              <w:jc w:val="both"/>
            </w:pPr>
            <w:r w:rsidRPr="007914AA">
              <w:t>Date to take effect:</w:t>
            </w:r>
          </w:p>
        </w:tc>
        <w:tc>
          <w:tcPr>
            <w:tcW w:w="7336" w:type="dxa"/>
          </w:tcPr>
          <w:p w14:paraId="72F805D5" w14:textId="2737BFC6" w:rsidR="00EC7E5E" w:rsidRPr="007914AA" w:rsidRDefault="00EC7E5E" w:rsidP="00AD7B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lightGray"/>
              </w:rPr>
            </w:pPr>
          </w:p>
        </w:tc>
      </w:tr>
      <w:tr w:rsidR="009907B8" w:rsidRPr="007914AA" w14:paraId="308DC13B" w14:textId="77777777" w:rsidTr="00A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BFDB870" w14:textId="348A9440" w:rsidR="009907B8" w:rsidRPr="007914AA" w:rsidRDefault="009907B8" w:rsidP="000C1B96">
            <w:pPr>
              <w:jc w:val="both"/>
            </w:pPr>
            <w:r w:rsidRPr="007914AA">
              <w:t>Legislative reference:</w:t>
            </w:r>
          </w:p>
        </w:tc>
        <w:tc>
          <w:tcPr>
            <w:tcW w:w="7336" w:type="dxa"/>
          </w:tcPr>
          <w:p w14:paraId="2F998B9D" w14:textId="6BC35182" w:rsidR="009907B8" w:rsidRPr="007914AA" w:rsidRDefault="009907B8" w:rsidP="00ED4C3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914AA">
              <w:t xml:space="preserve">Section </w:t>
            </w:r>
            <w:r w:rsidR="000013C5" w:rsidRPr="007914AA">
              <w:t>57</w:t>
            </w:r>
            <w:r w:rsidR="00ED4C3B" w:rsidRPr="007914AA">
              <w:t xml:space="preserve"> </w:t>
            </w:r>
            <w:r w:rsidRPr="007914AA">
              <w:t xml:space="preserve">of the </w:t>
            </w:r>
            <w:r w:rsidR="00ED4C3B" w:rsidRPr="007914AA">
              <w:rPr>
                <w:i/>
              </w:rPr>
              <w:t>Burial and Cremation Act 2022</w:t>
            </w:r>
            <w:r w:rsidR="000C0ABD" w:rsidRPr="007914AA">
              <w:rPr>
                <w:i/>
              </w:rPr>
              <w:t xml:space="preserve">; </w:t>
            </w:r>
            <w:r w:rsidR="000C0ABD" w:rsidRPr="007914AA">
              <w:t>Section 31 of the</w:t>
            </w:r>
            <w:r w:rsidR="000C0ABD" w:rsidRPr="007914AA">
              <w:rPr>
                <w:i/>
              </w:rPr>
              <w:t xml:space="preserve"> Information Act 2022 </w:t>
            </w:r>
          </w:p>
        </w:tc>
      </w:tr>
      <w:tr w:rsidR="009907B8" w:rsidRPr="007914AA" w14:paraId="0050EEEB" w14:textId="77777777" w:rsidTr="00A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3A0A6F4" w14:textId="210CDD80" w:rsidR="009907B8" w:rsidRPr="007914AA" w:rsidRDefault="009907B8" w:rsidP="000C1B96">
            <w:pPr>
              <w:jc w:val="both"/>
            </w:pPr>
            <w:r w:rsidRPr="007914AA">
              <w:t>Policy reference:</w:t>
            </w:r>
          </w:p>
        </w:tc>
        <w:tc>
          <w:tcPr>
            <w:tcW w:w="7336" w:type="dxa"/>
          </w:tcPr>
          <w:p w14:paraId="2531BDF4" w14:textId="7631678E" w:rsidR="009907B8" w:rsidRPr="007914AA" w:rsidRDefault="009907B8" w:rsidP="000C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2F3BDA" w:rsidRPr="007914AA" w14:paraId="7E2F06F1" w14:textId="77777777" w:rsidTr="00A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58EB27" w14:textId="77777777" w:rsidR="002F3BDA" w:rsidRPr="007914AA" w:rsidRDefault="002F3BDA" w:rsidP="000C1B96">
            <w:pPr>
              <w:jc w:val="both"/>
            </w:pPr>
            <w:r w:rsidRPr="007914AA">
              <w:t xml:space="preserve">Records </w:t>
            </w:r>
            <w:r w:rsidR="009D7937" w:rsidRPr="007914AA">
              <w:t>n</w:t>
            </w:r>
            <w:r w:rsidR="00176A2B" w:rsidRPr="007914AA">
              <w:t>umber</w:t>
            </w:r>
            <w:r w:rsidR="009D7937" w:rsidRPr="007914AA">
              <w:t>:</w:t>
            </w:r>
          </w:p>
        </w:tc>
        <w:tc>
          <w:tcPr>
            <w:tcW w:w="7336" w:type="dxa"/>
          </w:tcPr>
          <w:p w14:paraId="0B42010D" w14:textId="77777777" w:rsidR="002F3BDA" w:rsidRPr="007914AA" w:rsidRDefault="002F3BDA" w:rsidP="000C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  <w:tr w:rsidR="00EC7E5E" w:rsidRPr="007914AA" w14:paraId="3388CDD0" w14:textId="77777777" w:rsidTr="00AD7B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D2A46BB" w14:textId="77777777" w:rsidR="00EC7E5E" w:rsidRPr="007914AA" w:rsidRDefault="00EC7E5E" w:rsidP="000C1B96">
            <w:pPr>
              <w:jc w:val="both"/>
            </w:pPr>
            <w:r w:rsidRPr="007914AA">
              <w:t>Review date:</w:t>
            </w:r>
          </w:p>
        </w:tc>
        <w:tc>
          <w:tcPr>
            <w:tcW w:w="7336" w:type="dxa"/>
          </w:tcPr>
          <w:p w14:paraId="09E86574" w14:textId="4E391454" w:rsidR="00EC7E5E" w:rsidRPr="007914AA" w:rsidRDefault="00EC7E5E" w:rsidP="000C1B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</w:tr>
    </w:tbl>
    <w:p w14:paraId="63BB942E" w14:textId="77777777" w:rsidR="008D2FE6" w:rsidRPr="007914AA" w:rsidRDefault="008D2FE6" w:rsidP="00941B24">
      <w:pPr>
        <w:pStyle w:val="Heading1"/>
        <w:spacing w:before="0" w:line="240" w:lineRule="auto"/>
        <w:jc w:val="both"/>
        <w:rPr>
          <w:sz w:val="22"/>
          <w:szCs w:val="22"/>
        </w:rPr>
      </w:pPr>
    </w:p>
    <w:p w14:paraId="224C60A8" w14:textId="7BEDF4FE" w:rsidR="00E73ACA" w:rsidRPr="007914AA" w:rsidRDefault="00EC7E5E" w:rsidP="008D2FE6">
      <w:pPr>
        <w:pStyle w:val="Heading1"/>
        <w:numPr>
          <w:ilvl w:val="0"/>
          <w:numId w:val="33"/>
        </w:numPr>
        <w:spacing w:before="120" w:after="120" w:line="240" w:lineRule="auto"/>
        <w:jc w:val="both"/>
      </w:pPr>
      <w:r w:rsidRPr="007914AA">
        <w:t>Purpose</w:t>
      </w:r>
    </w:p>
    <w:p w14:paraId="79CDF6B8" w14:textId="4BC607F1" w:rsidR="005070D5" w:rsidRDefault="008D2FE6" w:rsidP="001757FD">
      <w:pPr>
        <w:pStyle w:val="ListParagraph"/>
        <w:jc w:val="both"/>
        <w:rPr>
          <w:i/>
        </w:rPr>
      </w:pPr>
      <w:r w:rsidRPr="007914AA">
        <w:t xml:space="preserve">The purpose of this policy is to outline how exclusive rights of burial are administered in public </w:t>
      </w:r>
      <w:r w:rsidR="005B0A36">
        <w:t xml:space="preserve">and </w:t>
      </w:r>
      <w:proofErr w:type="gramStart"/>
      <w:r w:rsidR="005B0A36">
        <w:t>independent</w:t>
      </w:r>
      <w:proofErr w:type="gramEnd"/>
      <w:r w:rsidR="005B0A36">
        <w:t xml:space="preserve"> </w:t>
      </w:r>
      <w:r w:rsidRPr="007914AA">
        <w:t>cemeteries in the Northern Territory</w:t>
      </w:r>
      <w:r w:rsidR="00F70913" w:rsidRPr="007914AA">
        <w:t xml:space="preserve"> in accordance with the </w:t>
      </w:r>
      <w:r w:rsidR="00F70913" w:rsidRPr="007914AA">
        <w:rPr>
          <w:i/>
        </w:rPr>
        <w:t>Burial and Cremation Act</w:t>
      </w:r>
      <w:r w:rsidR="005070D5">
        <w:rPr>
          <w:i/>
        </w:rPr>
        <w:t> </w:t>
      </w:r>
    </w:p>
    <w:p w14:paraId="29C7EBBF" w14:textId="0CF1CBB0" w:rsidR="008D2FE6" w:rsidRDefault="00F70913" w:rsidP="001757FD">
      <w:pPr>
        <w:pStyle w:val="ListParagraph"/>
        <w:jc w:val="both"/>
      </w:pPr>
      <w:r w:rsidRPr="007914AA">
        <w:rPr>
          <w:i/>
        </w:rPr>
        <w:t>2022</w:t>
      </w:r>
      <w:r w:rsidRPr="007914AA">
        <w:t xml:space="preserve"> (the Act)</w:t>
      </w:r>
      <w:r w:rsidR="008D2FE6" w:rsidRPr="007914AA">
        <w:t xml:space="preserve">. </w:t>
      </w:r>
    </w:p>
    <w:p w14:paraId="4F83195E" w14:textId="77777777" w:rsidR="005070D5" w:rsidRPr="007914AA" w:rsidRDefault="005070D5" w:rsidP="005070D5">
      <w:pPr>
        <w:pStyle w:val="ListParagraph"/>
      </w:pPr>
    </w:p>
    <w:p w14:paraId="5E411049" w14:textId="19858A88" w:rsidR="008D2FE6" w:rsidRPr="007914AA" w:rsidRDefault="008D2FE6" w:rsidP="008D2FE6">
      <w:pPr>
        <w:pStyle w:val="ListParagraph"/>
        <w:numPr>
          <w:ilvl w:val="0"/>
          <w:numId w:val="33"/>
        </w:numPr>
        <w:rPr>
          <w:b/>
          <w:sz w:val="32"/>
          <w:szCs w:val="32"/>
        </w:rPr>
      </w:pPr>
      <w:r w:rsidRPr="007914AA">
        <w:rPr>
          <w:b/>
          <w:sz w:val="32"/>
          <w:szCs w:val="32"/>
        </w:rPr>
        <w:t>Definitions</w:t>
      </w:r>
    </w:p>
    <w:p w14:paraId="67526DA4" w14:textId="77777777" w:rsidR="008D2FE6" w:rsidRPr="007914AA" w:rsidRDefault="008D2FE6" w:rsidP="001757FD">
      <w:pPr>
        <w:spacing w:before="120" w:after="120" w:line="240" w:lineRule="auto"/>
        <w:ind w:left="720"/>
        <w:jc w:val="both"/>
      </w:pPr>
      <w:r w:rsidRPr="007914AA">
        <w:t>For the purposes of this policy:</w:t>
      </w:r>
    </w:p>
    <w:p w14:paraId="2D2E8CBD" w14:textId="77777777" w:rsidR="00FC2FB7" w:rsidRPr="007914AA" w:rsidRDefault="00FC2FB7" w:rsidP="001757FD">
      <w:pPr>
        <w:tabs>
          <w:tab w:val="left" w:pos="1133"/>
        </w:tabs>
        <w:spacing w:after="0"/>
        <w:ind w:left="720"/>
        <w:jc w:val="both"/>
      </w:pPr>
      <w:r w:rsidRPr="007914AA">
        <w:rPr>
          <w:b/>
        </w:rPr>
        <w:t>A decision maker</w:t>
      </w:r>
      <w:r w:rsidRPr="007914AA">
        <w:t xml:space="preserve"> for a deceased person means:</w:t>
      </w:r>
    </w:p>
    <w:p w14:paraId="6DD9ECA0" w14:textId="77777777" w:rsidR="00FC2FB7" w:rsidRPr="007914AA" w:rsidRDefault="00FC2FB7" w:rsidP="001757FD">
      <w:pPr>
        <w:pStyle w:val="ListParagraph"/>
        <w:numPr>
          <w:ilvl w:val="0"/>
          <w:numId w:val="6"/>
        </w:numPr>
        <w:tabs>
          <w:tab w:val="left" w:pos="1133"/>
        </w:tabs>
        <w:spacing w:after="0" w:line="240" w:lineRule="auto"/>
        <w:ind w:left="1080"/>
        <w:contextualSpacing w:val="0"/>
        <w:jc w:val="both"/>
      </w:pPr>
      <w:r w:rsidRPr="007914AA">
        <w:t>the executor or administrator of the estate of the deceased person; or</w:t>
      </w:r>
    </w:p>
    <w:p w14:paraId="5C579848" w14:textId="7E3BE8A6" w:rsidR="00FC2FB7" w:rsidRPr="007914AA" w:rsidRDefault="005070D5" w:rsidP="001757FD">
      <w:pPr>
        <w:pStyle w:val="ListParagraph"/>
        <w:numPr>
          <w:ilvl w:val="0"/>
          <w:numId w:val="6"/>
        </w:numPr>
        <w:tabs>
          <w:tab w:val="left" w:pos="1133"/>
        </w:tabs>
        <w:spacing w:after="0" w:line="240" w:lineRule="auto"/>
        <w:ind w:left="1080"/>
        <w:contextualSpacing w:val="0"/>
        <w:jc w:val="both"/>
      </w:pPr>
      <w:r>
        <w:t>if there is no</w:t>
      </w:r>
      <w:r w:rsidR="00FC2FB7" w:rsidRPr="007914AA">
        <w:t xml:space="preserve"> executor or administrator of the estate of the deceased person – the senior next of kin (see definition</w:t>
      </w:r>
      <w:r w:rsidR="00710E56">
        <w:t xml:space="preserve"> below</w:t>
      </w:r>
      <w:r w:rsidR="00FC2FB7" w:rsidRPr="007914AA">
        <w:t xml:space="preserve">); </w:t>
      </w:r>
    </w:p>
    <w:p w14:paraId="2779DA33" w14:textId="77777777" w:rsidR="00FC2FB7" w:rsidRPr="007914AA" w:rsidRDefault="00FC2FB7" w:rsidP="001757FD">
      <w:pPr>
        <w:pStyle w:val="ListParagraph"/>
        <w:numPr>
          <w:ilvl w:val="0"/>
          <w:numId w:val="6"/>
        </w:numPr>
        <w:tabs>
          <w:tab w:val="left" w:pos="1133"/>
        </w:tabs>
        <w:spacing w:after="0" w:line="240" w:lineRule="auto"/>
        <w:ind w:left="1080"/>
        <w:contextualSpacing w:val="0"/>
        <w:jc w:val="both"/>
      </w:pPr>
      <w:proofErr w:type="gramStart"/>
      <w:r w:rsidRPr="007914AA">
        <w:t>in</w:t>
      </w:r>
      <w:proofErr w:type="gramEnd"/>
      <w:r w:rsidRPr="007914AA">
        <w:t xml:space="preserve"> any other case – the Public Trustee.</w:t>
      </w:r>
    </w:p>
    <w:p w14:paraId="34E1764A" w14:textId="77777777" w:rsidR="00FC2FB7" w:rsidRPr="007914AA" w:rsidRDefault="00FC2FB7" w:rsidP="001757FD">
      <w:pPr>
        <w:spacing w:before="40" w:after="40"/>
        <w:ind w:left="720"/>
        <w:jc w:val="both"/>
      </w:pPr>
    </w:p>
    <w:p w14:paraId="62036EE2" w14:textId="131F5A8C" w:rsidR="00FC2FB7" w:rsidRPr="007914AA" w:rsidRDefault="00FC2FB7" w:rsidP="001757FD">
      <w:pPr>
        <w:spacing w:before="40" w:after="40"/>
        <w:ind w:left="720"/>
        <w:jc w:val="both"/>
      </w:pPr>
      <w:r w:rsidRPr="007914AA">
        <w:t xml:space="preserve">A </w:t>
      </w:r>
      <w:r w:rsidRPr="007914AA">
        <w:rPr>
          <w:b/>
        </w:rPr>
        <w:t>senior next of kin</w:t>
      </w:r>
      <w:r w:rsidRPr="007914AA">
        <w:t xml:space="preserve"> for a deceased person is the most senior person in the following hierarchy:</w:t>
      </w:r>
    </w:p>
    <w:p w14:paraId="38C1B79B" w14:textId="5882C278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r w:rsidRPr="007914AA">
        <w:t xml:space="preserve">if the deceased person </w:t>
      </w:r>
      <w:r w:rsidR="00DF4F48">
        <w:t>is</w:t>
      </w:r>
      <w:r w:rsidRPr="007914AA">
        <w:t xml:space="preserve"> an Aboriginal or Torres Strait Island</w:t>
      </w:r>
      <w:r w:rsidR="005070D5">
        <w:t>er</w:t>
      </w:r>
      <w:r w:rsidRPr="007914AA">
        <w:t xml:space="preserve"> person with strong cultural and traditional ties to a community or group – a </w:t>
      </w:r>
      <w:r w:rsidRPr="008C6769">
        <w:t>person who is appropriate to perform that role from their community or group</w:t>
      </w:r>
      <w:r w:rsidR="00DF4F48">
        <w:t>;</w:t>
      </w:r>
    </w:p>
    <w:p w14:paraId="7AAD9789" w14:textId="27CA6968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r w:rsidRPr="008C6769">
        <w:t>a spouse</w:t>
      </w:r>
      <w:r w:rsidR="00DF4F48">
        <w:t>;</w:t>
      </w:r>
    </w:p>
    <w:p w14:paraId="709B67FD" w14:textId="51FBD032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r w:rsidRPr="008C6769">
        <w:t>a de facto partner</w:t>
      </w:r>
      <w:r w:rsidR="00DF4F48">
        <w:t>;</w:t>
      </w:r>
    </w:p>
    <w:p w14:paraId="14F1539E" w14:textId="3B6C7061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r w:rsidRPr="008C6769">
        <w:t>a child over 18 years of age – from eldest to youngest</w:t>
      </w:r>
      <w:r w:rsidR="00DF4F48">
        <w:t>;</w:t>
      </w:r>
    </w:p>
    <w:p w14:paraId="09218DDF" w14:textId="05CC783B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r w:rsidRPr="008C6769">
        <w:t>a parent</w:t>
      </w:r>
      <w:r w:rsidR="00DF4F48">
        <w:t>;</w:t>
      </w:r>
    </w:p>
    <w:p w14:paraId="674C63B3" w14:textId="597E41D3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r w:rsidRPr="008C6769">
        <w:t>a sibling over 18 years of age – from eldest to youngest</w:t>
      </w:r>
      <w:r w:rsidR="00DF4F48">
        <w:t>;</w:t>
      </w:r>
    </w:p>
    <w:p w14:paraId="7899B300" w14:textId="77777777" w:rsidR="00FC2FB7" w:rsidRPr="008C6769" w:rsidRDefault="00FC2FB7" w:rsidP="001757FD">
      <w:pPr>
        <w:pStyle w:val="ListParagraph"/>
        <w:numPr>
          <w:ilvl w:val="0"/>
          <w:numId w:val="35"/>
        </w:numPr>
        <w:spacing w:before="40" w:after="40"/>
        <w:jc w:val="both"/>
      </w:pPr>
      <w:proofErr w:type="gramStart"/>
      <w:r w:rsidRPr="008C6769">
        <w:t>a</w:t>
      </w:r>
      <w:proofErr w:type="gramEnd"/>
      <w:r w:rsidRPr="008C6769">
        <w:t xml:space="preserve"> person who, immediately before the death of the deceased person, had a relationship with the deceased person – for example, a grandparent or a friend.</w:t>
      </w:r>
    </w:p>
    <w:p w14:paraId="4D456DC1" w14:textId="77777777" w:rsidR="008C6769" w:rsidRPr="008C6769" w:rsidRDefault="007A6336" w:rsidP="001757FD">
      <w:pPr>
        <w:spacing w:before="120" w:after="0" w:line="240" w:lineRule="auto"/>
        <w:ind w:left="720"/>
        <w:jc w:val="both"/>
        <w:rPr>
          <w:b/>
        </w:rPr>
      </w:pPr>
      <w:r w:rsidRPr="008C6769">
        <w:rPr>
          <w:b/>
        </w:rPr>
        <w:t>Burial</w:t>
      </w:r>
      <w:r w:rsidR="008C6769" w:rsidRPr="008C6769">
        <w:rPr>
          <w:b/>
        </w:rPr>
        <w:t xml:space="preserve"> means the following:</w:t>
      </w:r>
    </w:p>
    <w:p w14:paraId="572B5BF5" w14:textId="123640BA" w:rsidR="008C6769" w:rsidRPr="008C6769" w:rsidRDefault="008C6769" w:rsidP="001757FD">
      <w:pPr>
        <w:pStyle w:val="Paragraph"/>
        <w:numPr>
          <w:ilvl w:val="0"/>
          <w:numId w:val="36"/>
        </w:numPr>
        <w:spacing w:after="0"/>
        <w:rPr>
          <w:rFonts w:ascii="Arial" w:hAnsi="Arial" w:cs="Arial"/>
          <w:sz w:val="22"/>
          <w:szCs w:val="22"/>
        </w:rPr>
      </w:pPr>
      <w:r w:rsidRPr="008C6769">
        <w:rPr>
          <w:rFonts w:ascii="Arial" w:hAnsi="Arial" w:cs="Arial"/>
          <w:sz w:val="22"/>
          <w:szCs w:val="22"/>
        </w:rPr>
        <w:t>natural burial in the ground without a shroud or funerary box;</w:t>
      </w:r>
    </w:p>
    <w:p w14:paraId="3573A683" w14:textId="60E39C8A" w:rsidR="008C6769" w:rsidRPr="008C6769" w:rsidRDefault="008C6769" w:rsidP="001757FD">
      <w:pPr>
        <w:pStyle w:val="Paragraph"/>
        <w:numPr>
          <w:ilvl w:val="0"/>
          <w:numId w:val="36"/>
        </w:numPr>
        <w:spacing w:after="0"/>
        <w:rPr>
          <w:rFonts w:ascii="Arial" w:hAnsi="Arial" w:cs="Arial"/>
          <w:sz w:val="22"/>
          <w:szCs w:val="22"/>
        </w:rPr>
      </w:pPr>
      <w:r w:rsidRPr="008C6769">
        <w:rPr>
          <w:rFonts w:ascii="Arial" w:hAnsi="Arial" w:cs="Arial"/>
          <w:sz w:val="22"/>
          <w:szCs w:val="22"/>
        </w:rPr>
        <w:t>burial in the ground in a shroud;</w:t>
      </w:r>
    </w:p>
    <w:p w14:paraId="30C7C7A2" w14:textId="21F7E777" w:rsidR="008C6769" w:rsidRPr="008C6769" w:rsidRDefault="008C6769" w:rsidP="001757FD">
      <w:pPr>
        <w:pStyle w:val="Paragraph"/>
        <w:numPr>
          <w:ilvl w:val="0"/>
          <w:numId w:val="36"/>
        </w:numPr>
        <w:spacing w:after="0"/>
        <w:rPr>
          <w:rFonts w:ascii="Arial" w:hAnsi="Arial" w:cs="Arial"/>
          <w:sz w:val="22"/>
          <w:szCs w:val="22"/>
        </w:rPr>
      </w:pPr>
      <w:r w:rsidRPr="008C6769">
        <w:rPr>
          <w:rFonts w:ascii="Arial" w:hAnsi="Arial" w:cs="Arial"/>
          <w:sz w:val="22"/>
          <w:szCs w:val="22"/>
        </w:rPr>
        <w:t>burial in the ground in a funerary box;</w:t>
      </w:r>
    </w:p>
    <w:p w14:paraId="7B4255BC" w14:textId="54B5EC71" w:rsidR="008C6769" w:rsidRPr="008C6769" w:rsidRDefault="008C6769" w:rsidP="001757FD">
      <w:pPr>
        <w:pStyle w:val="Paragraph"/>
        <w:numPr>
          <w:ilvl w:val="0"/>
          <w:numId w:val="36"/>
        </w:numPr>
        <w:spacing w:after="0"/>
        <w:rPr>
          <w:rFonts w:ascii="Arial" w:hAnsi="Arial" w:cs="Arial"/>
          <w:sz w:val="22"/>
          <w:szCs w:val="22"/>
        </w:rPr>
      </w:pPr>
      <w:r w:rsidRPr="008C6769">
        <w:rPr>
          <w:rFonts w:ascii="Arial" w:hAnsi="Arial" w:cs="Arial"/>
          <w:sz w:val="22"/>
          <w:szCs w:val="22"/>
        </w:rPr>
        <w:t>interment in a structure;</w:t>
      </w:r>
    </w:p>
    <w:p w14:paraId="3ADFFCDE" w14:textId="11B4167A" w:rsidR="008C6769" w:rsidRPr="008C6769" w:rsidRDefault="008C6769" w:rsidP="001757FD">
      <w:pPr>
        <w:pStyle w:val="Paragraph"/>
        <w:numPr>
          <w:ilvl w:val="0"/>
          <w:numId w:val="36"/>
        </w:numPr>
        <w:spacing w:after="0"/>
        <w:rPr>
          <w:rFonts w:ascii="Arial" w:hAnsi="Arial" w:cs="Arial"/>
          <w:sz w:val="22"/>
          <w:szCs w:val="22"/>
        </w:rPr>
      </w:pPr>
      <w:proofErr w:type="gramStart"/>
      <w:r w:rsidRPr="008C6769">
        <w:rPr>
          <w:rFonts w:ascii="Arial" w:hAnsi="Arial" w:cs="Arial"/>
          <w:sz w:val="22"/>
          <w:szCs w:val="22"/>
        </w:rPr>
        <w:t>any</w:t>
      </w:r>
      <w:proofErr w:type="gramEnd"/>
      <w:r w:rsidRPr="008C6769">
        <w:rPr>
          <w:rFonts w:ascii="Arial" w:hAnsi="Arial" w:cs="Arial"/>
          <w:sz w:val="22"/>
          <w:szCs w:val="22"/>
        </w:rPr>
        <w:t xml:space="preserve"> other funerary practice for burial or interment.</w:t>
      </w:r>
    </w:p>
    <w:p w14:paraId="340B44D3" w14:textId="77777777" w:rsidR="008C6769" w:rsidRPr="008C6769" w:rsidRDefault="008C6769" w:rsidP="001757FD">
      <w:pPr>
        <w:spacing w:after="0" w:line="240" w:lineRule="auto"/>
        <w:ind w:left="720"/>
        <w:jc w:val="both"/>
        <w:rPr>
          <w:b/>
        </w:rPr>
      </w:pPr>
      <w:r w:rsidRPr="008C6769">
        <w:rPr>
          <w:b/>
        </w:rPr>
        <w:t xml:space="preserve"> </w:t>
      </w:r>
    </w:p>
    <w:p w14:paraId="604510FB" w14:textId="1148E1CE" w:rsidR="008D2FE6" w:rsidRPr="008C6769" w:rsidRDefault="008D2FE6" w:rsidP="001757FD">
      <w:pPr>
        <w:spacing w:before="120" w:after="0" w:line="240" w:lineRule="auto"/>
        <w:ind w:left="720"/>
        <w:jc w:val="both"/>
      </w:pPr>
      <w:r w:rsidRPr="008C6769">
        <w:rPr>
          <w:b/>
        </w:rPr>
        <w:t>Burial fee</w:t>
      </w:r>
      <w:r w:rsidRPr="008C6769">
        <w:t xml:space="preserve"> means a fee charged for the following:</w:t>
      </w:r>
    </w:p>
    <w:p w14:paraId="54A9564F" w14:textId="77777777" w:rsidR="008D2FE6" w:rsidRPr="008C6769" w:rsidRDefault="008D2FE6" w:rsidP="001757FD">
      <w:pPr>
        <w:pStyle w:val="ListParagraph"/>
        <w:numPr>
          <w:ilvl w:val="0"/>
          <w:numId w:val="7"/>
        </w:numPr>
        <w:spacing w:after="0" w:line="240" w:lineRule="auto"/>
        <w:ind w:left="1080"/>
        <w:contextualSpacing w:val="0"/>
        <w:jc w:val="both"/>
      </w:pPr>
      <w:r w:rsidRPr="008C6769">
        <w:t>use of a burial plot;</w:t>
      </w:r>
    </w:p>
    <w:p w14:paraId="7F60E877" w14:textId="77777777" w:rsidR="008D2FE6" w:rsidRPr="008C6769" w:rsidRDefault="008D2FE6" w:rsidP="001757FD">
      <w:pPr>
        <w:pStyle w:val="ListParagraph"/>
        <w:numPr>
          <w:ilvl w:val="0"/>
          <w:numId w:val="7"/>
        </w:numPr>
        <w:spacing w:after="40" w:line="240" w:lineRule="auto"/>
        <w:ind w:left="1080"/>
        <w:contextualSpacing w:val="0"/>
        <w:jc w:val="both"/>
      </w:pPr>
      <w:r w:rsidRPr="008C6769">
        <w:t xml:space="preserve">digging of a grave; and </w:t>
      </w:r>
    </w:p>
    <w:p w14:paraId="43C32048" w14:textId="3800DBB2" w:rsidR="008D2FE6" w:rsidRPr="008C6769" w:rsidRDefault="008D2FE6" w:rsidP="001757FD">
      <w:pPr>
        <w:pStyle w:val="ListParagraph"/>
        <w:numPr>
          <w:ilvl w:val="0"/>
          <w:numId w:val="7"/>
        </w:numPr>
        <w:spacing w:after="40" w:line="240" w:lineRule="auto"/>
        <w:ind w:left="1080"/>
        <w:contextualSpacing w:val="0"/>
        <w:jc w:val="both"/>
      </w:pPr>
      <w:proofErr w:type="gramStart"/>
      <w:r w:rsidRPr="008C6769">
        <w:t>any</w:t>
      </w:r>
      <w:proofErr w:type="gramEnd"/>
      <w:r w:rsidRPr="008C6769">
        <w:t xml:space="preserve"> other fee for a service required to undertake a burial.</w:t>
      </w:r>
    </w:p>
    <w:p w14:paraId="13F910B6" w14:textId="44A14F22" w:rsidR="006D627C" w:rsidRDefault="006D627C" w:rsidP="006D627C">
      <w:pPr>
        <w:spacing w:after="40" w:line="240" w:lineRule="auto"/>
        <w:ind w:left="720"/>
      </w:pPr>
    </w:p>
    <w:p w14:paraId="7B65B0F3" w14:textId="4849FC4E" w:rsidR="005B0A36" w:rsidRDefault="005B0A36" w:rsidP="006D627C">
      <w:pPr>
        <w:spacing w:after="40" w:line="240" w:lineRule="auto"/>
        <w:ind w:left="720"/>
      </w:pPr>
      <w:r w:rsidRPr="008C6769">
        <w:rPr>
          <w:b/>
        </w:rPr>
        <w:t>Cemetery</w:t>
      </w:r>
      <w:r>
        <w:t xml:space="preserve"> means</w:t>
      </w:r>
      <w:r w:rsidR="008C6769">
        <w:t xml:space="preserve"> </w:t>
      </w:r>
      <w:r w:rsidR="008C6769" w:rsidRPr="00162BF3">
        <w:t xml:space="preserve">an area of land declared to be a cemetery by the Minister under section </w:t>
      </w:r>
      <w:r w:rsidR="008C6769">
        <w:t>16</w:t>
      </w:r>
      <w:r w:rsidR="008C6769" w:rsidRPr="00162BF3">
        <w:t>(1)</w:t>
      </w:r>
      <w:r w:rsidR="008C6769">
        <w:t xml:space="preserve"> of the Act</w:t>
      </w:r>
      <w:r w:rsidR="008C6769" w:rsidRPr="00162BF3">
        <w:t>.</w:t>
      </w:r>
    </w:p>
    <w:p w14:paraId="5B756F53" w14:textId="77777777" w:rsidR="005B0A36" w:rsidRDefault="005B0A36" w:rsidP="006D627C">
      <w:pPr>
        <w:spacing w:after="40" w:line="240" w:lineRule="auto"/>
        <w:ind w:left="720"/>
        <w:rPr>
          <w:b/>
          <w:highlight w:val="yellow"/>
        </w:rPr>
      </w:pPr>
    </w:p>
    <w:p w14:paraId="2A94A782" w14:textId="5CD66A69" w:rsidR="006D627C" w:rsidRDefault="006D627C" w:rsidP="001757FD">
      <w:pPr>
        <w:spacing w:after="40" w:line="240" w:lineRule="auto"/>
        <w:ind w:left="720"/>
        <w:jc w:val="both"/>
      </w:pPr>
      <w:r w:rsidRPr="00AB7AFC">
        <w:rPr>
          <w:b/>
        </w:rPr>
        <w:lastRenderedPageBreak/>
        <w:t>Cemetery manager</w:t>
      </w:r>
      <w:r w:rsidR="00AB7AFC">
        <w:rPr>
          <w:b/>
        </w:rPr>
        <w:t xml:space="preserve"> </w:t>
      </w:r>
      <w:r w:rsidR="00AB7AFC" w:rsidRPr="00162BF3">
        <w:t xml:space="preserve">is the </w:t>
      </w:r>
      <w:r w:rsidR="00DE0126" w:rsidRPr="00162BF3">
        <w:t xml:space="preserve">Chief Executive Officer </w:t>
      </w:r>
      <w:r w:rsidR="00AB7AFC" w:rsidRPr="00162BF3">
        <w:t>of the responsible entity for the cemetery</w:t>
      </w:r>
      <w:r w:rsidR="00AB7AFC">
        <w:t xml:space="preserve"> or the </w:t>
      </w:r>
      <w:r w:rsidR="00DE0126">
        <w:t xml:space="preserve">Chief Executive Officer’s </w:t>
      </w:r>
      <w:r w:rsidR="00AB7AFC">
        <w:t>delegate</w:t>
      </w:r>
      <w:r w:rsidR="00AB7AFC" w:rsidRPr="00162BF3">
        <w:t>.</w:t>
      </w:r>
    </w:p>
    <w:p w14:paraId="44783D85" w14:textId="0CCC2594" w:rsidR="0042332E" w:rsidRDefault="0042332E" w:rsidP="001757FD">
      <w:pPr>
        <w:spacing w:after="40" w:line="240" w:lineRule="auto"/>
        <w:ind w:left="720"/>
        <w:jc w:val="both"/>
      </w:pPr>
    </w:p>
    <w:p w14:paraId="714F2F93" w14:textId="3330CB43" w:rsidR="0042332E" w:rsidRPr="00162BF3" w:rsidRDefault="0042332E" w:rsidP="001757FD">
      <w:pPr>
        <w:spacing w:after="40" w:line="240" w:lineRule="auto"/>
        <w:ind w:left="720"/>
        <w:jc w:val="both"/>
      </w:pPr>
      <w:r w:rsidRPr="0042332E">
        <w:rPr>
          <w:b/>
        </w:rPr>
        <w:t>Cemetery plan</w:t>
      </w:r>
      <w:r w:rsidRPr="00162BF3">
        <w:t xml:space="preserve"> means a plan required for a cemetery under section </w:t>
      </w:r>
      <w:r>
        <w:t>24</w:t>
      </w:r>
      <w:r w:rsidRPr="00162BF3">
        <w:t>(1)</w:t>
      </w:r>
      <w:r w:rsidR="00972AAB">
        <w:t xml:space="preserve"> of the Act</w:t>
      </w:r>
      <w:r w:rsidRPr="00162BF3">
        <w:t>.</w:t>
      </w:r>
    </w:p>
    <w:p w14:paraId="5815D2D7" w14:textId="77777777" w:rsidR="0042332E" w:rsidRDefault="0042332E" w:rsidP="001757FD">
      <w:pPr>
        <w:spacing w:after="40" w:line="240" w:lineRule="auto"/>
        <w:ind w:left="720"/>
        <w:jc w:val="both"/>
        <w:rPr>
          <w:b/>
        </w:rPr>
      </w:pPr>
    </w:p>
    <w:p w14:paraId="446836C5" w14:textId="06276816" w:rsidR="00A37FDD" w:rsidRPr="0042332E" w:rsidRDefault="00A37FDD" w:rsidP="001757FD">
      <w:pPr>
        <w:spacing w:after="40" w:line="240" w:lineRule="auto"/>
        <w:ind w:left="720"/>
        <w:jc w:val="both"/>
      </w:pPr>
      <w:r w:rsidRPr="0042332E">
        <w:rPr>
          <w:b/>
        </w:rPr>
        <w:t>Certificate of grant of exclusive right of burial</w:t>
      </w:r>
      <w:r w:rsidR="0042332E">
        <w:rPr>
          <w:b/>
        </w:rPr>
        <w:t xml:space="preserve"> </w:t>
      </w:r>
      <w:r w:rsidR="0042332E">
        <w:t xml:space="preserve">means a certificate issued to a grantee </w:t>
      </w:r>
      <w:r w:rsidR="00DF3790">
        <w:t xml:space="preserve">under section 52 of the Act. </w:t>
      </w:r>
    </w:p>
    <w:p w14:paraId="05E3B524" w14:textId="4A413B6A" w:rsidR="00B23333" w:rsidRDefault="00B23333" w:rsidP="001757FD">
      <w:pPr>
        <w:pStyle w:val="ListParagraph"/>
        <w:tabs>
          <w:tab w:val="left" w:pos="1133"/>
        </w:tabs>
        <w:spacing w:after="0" w:line="240" w:lineRule="auto"/>
        <w:ind w:left="1080"/>
        <w:contextualSpacing w:val="0"/>
        <w:jc w:val="both"/>
      </w:pPr>
    </w:p>
    <w:p w14:paraId="299C3ADF" w14:textId="3DF92C9C" w:rsidR="008D2FE6" w:rsidRPr="007914AA" w:rsidRDefault="008D2FE6" w:rsidP="001757FD">
      <w:pPr>
        <w:tabs>
          <w:tab w:val="left" w:pos="1133"/>
        </w:tabs>
        <w:spacing w:after="0" w:line="240" w:lineRule="auto"/>
        <w:ind w:left="720"/>
        <w:jc w:val="both"/>
      </w:pPr>
      <w:r w:rsidRPr="007914AA">
        <w:rPr>
          <w:b/>
        </w:rPr>
        <w:t>Grantee</w:t>
      </w:r>
      <w:r w:rsidRPr="007914AA">
        <w:t xml:space="preserve"> means </w:t>
      </w:r>
      <w:r w:rsidR="00941B24" w:rsidRPr="007914AA">
        <w:t xml:space="preserve">the individual to whom an exclusive right of burial is granted under the Act. </w:t>
      </w:r>
    </w:p>
    <w:p w14:paraId="1B312DD2" w14:textId="4D337493" w:rsidR="00B23333" w:rsidRDefault="00B23333" w:rsidP="001757FD">
      <w:pPr>
        <w:tabs>
          <w:tab w:val="left" w:pos="1133"/>
        </w:tabs>
        <w:spacing w:after="0" w:line="240" w:lineRule="auto"/>
        <w:ind w:left="720"/>
        <w:jc w:val="both"/>
      </w:pPr>
    </w:p>
    <w:p w14:paraId="4A0C1739" w14:textId="6892BFBF" w:rsidR="008C6769" w:rsidRDefault="008C6769" w:rsidP="001757FD">
      <w:pPr>
        <w:tabs>
          <w:tab w:val="left" w:pos="1133"/>
        </w:tabs>
        <w:spacing w:after="0" w:line="240" w:lineRule="auto"/>
        <w:ind w:left="720"/>
        <w:jc w:val="both"/>
      </w:pPr>
      <w:r w:rsidRPr="00AB7AFC">
        <w:rPr>
          <w:b/>
        </w:rPr>
        <w:t>Human remains</w:t>
      </w:r>
      <w:r>
        <w:t xml:space="preserve"> </w:t>
      </w:r>
      <w:r w:rsidR="00AB7AFC" w:rsidRPr="00162BF3">
        <w:t xml:space="preserve">means the body, or part of a body, of a deceased person, but does not include a body, or part of a </w:t>
      </w:r>
      <w:r w:rsidR="00AF1A6D" w:rsidRPr="00162BF3">
        <w:t>body that</w:t>
      </w:r>
      <w:r w:rsidR="00AB7AFC" w:rsidRPr="00162BF3">
        <w:t xml:space="preserve"> is cremated or undergoes any other process of disposal prescribed by </w:t>
      </w:r>
      <w:r w:rsidR="00AB7AFC">
        <w:t xml:space="preserve">the </w:t>
      </w:r>
      <w:r w:rsidR="00AB7AFC" w:rsidRPr="00AB7AFC">
        <w:rPr>
          <w:i/>
        </w:rPr>
        <w:t>Burial and Cremation Regulations 2022</w:t>
      </w:r>
      <w:r w:rsidR="00AB7AFC" w:rsidRPr="00162BF3">
        <w:t>.</w:t>
      </w:r>
    </w:p>
    <w:p w14:paraId="7AE0F340" w14:textId="25F29484" w:rsidR="005E178A" w:rsidRDefault="005E178A" w:rsidP="001757FD">
      <w:pPr>
        <w:tabs>
          <w:tab w:val="left" w:pos="1133"/>
        </w:tabs>
        <w:spacing w:after="0" w:line="240" w:lineRule="auto"/>
        <w:ind w:left="720"/>
        <w:jc w:val="both"/>
      </w:pPr>
    </w:p>
    <w:p w14:paraId="6D704DDB" w14:textId="77777777" w:rsidR="005E178A" w:rsidRPr="007914AA" w:rsidRDefault="005E178A" w:rsidP="001757FD">
      <w:pPr>
        <w:spacing w:after="0" w:line="240" w:lineRule="auto"/>
        <w:ind w:left="720"/>
        <w:jc w:val="both"/>
      </w:pPr>
      <w:r>
        <w:rPr>
          <w:b/>
        </w:rPr>
        <w:t xml:space="preserve">Independent cemetery </w:t>
      </w:r>
      <w:r w:rsidRPr="00162BF3">
        <w:t xml:space="preserve">means a class of cemetery declared under section </w:t>
      </w:r>
      <w:r>
        <w:t>16</w:t>
      </w:r>
      <w:r w:rsidRPr="00162BF3">
        <w:t>(2</w:t>
      </w:r>
      <w:proofErr w:type="gramStart"/>
      <w:r w:rsidRPr="00162BF3">
        <w:t>)(</w:t>
      </w:r>
      <w:proofErr w:type="gramEnd"/>
      <w:r w:rsidRPr="00162BF3">
        <w:t>d)</w:t>
      </w:r>
      <w:r>
        <w:t xml:space="preserve"> of the Act</w:t>
      </w:r>
      <w:r w:rsidRPr="00162BF3">
        <w:t>.</w:t>
      </w:r>
    </w:p>
    <w:p w14:paraId="663845F2" w14:textId="77777777" w:rsidR="005E178A" w:rsidRDefault="005E178A" w:rsidP="001757FD">
      <w:pPr>
        <w:tabs>
          <w:tab w:val="left" w:pos="1133"/>
        </w:tabs>
        <w:spacing w:after="0" w:line="240" w:lineRule="auto"/>
        <w:ind w:left="720"/>
        <w:jc w:val="both"/>
      </w:pPr>
    </w:p>
    <w:p w14:paraId="638FB39A" w14:textId="7A3315D7" w:rsidR="008D2FE6" w:rsidRDefault="008D2FE6" w:rsidP="001757FD">
      <w:pPr>
        <w:spacing w:after="0" w:line="240" w:lineRule="auto"/>
        <w:ind w:left="720"/>
        <w:jc w:val="both"/>
      </w:pPr>
      <w:r w:rsidRPr="008C6769">
        <w:rPr>
          <w:b/>
        </w:rPr>
        <w:t xml:space="preserve">Public cemetery </w:t>
      </w:r>
      <w:r w:rsidR="008C6769" w:rsidRPr="00162BF3">
        <w:t xml:space="preserve">means a class of cemetery declared under section </w:t>
      </w:r>
      <w:r w:rsidR="008C6769">
        <w:t>16</w:t>
      </w:r>
      <w:r w:rsidR="008C6769" w:rsidRPr="00162BF3">
        <w:t>(2</w:t>
      </w:r>
      <w:proofErr w:type="gramStart"/>
      <w:r w:rsidR="008C6769" w:rsidRPr="00162BF3">
        <w:t>)(</w:t>
      </w:r>
      <w:proofErr w:type="gramEnd"/>
      <w:r w:rsidR="008C6769" w:rsidRPr="00162BF3">
        <w:t>a)</w:t>
      </w:r>
      <w:r w:rsidR="006A0841">
        <w:t xml:space="preserve"> of the Act</w:t>
      </w:r>
      <w:r w:rsidR="008C6769" w:rsidRPr="00162BF3">
        <w:t>.</w:t>
      </w:r>
    </w:p>
    <w:p w14:paraId="79940301" w14:textId="77777777" w:rsidR="005E178A" w:rsidRDefault="005E178A" w:rsidP="001757FD">
      <w:pPr>
        <w:spacing w:after="0" w:line="240" w:lineRule="auto"/>
        <w:ind w:left="720"/>
        <w:jc w:val="both"/>
      </w:pPr>
    </w:p>
    <w:p w14:paraId="6E5F341D" w14:textId="14ECD891" w:rsidR="008D2FE6" w:rsidRPr="007914AA" w:rsidRDefault="008D2FE6" w:rsidP="001757FD">
      <w:pPr>
        <w:tabs>
          <w:tab w:val="left" w:pos="1133"/>
        </w:tabs>
        <w:spacing w:after="40" w:line="240" w:lineRule="auto"/>
        <w:ind w:left="720"/>
        <w:jc w:val="both"/>
      </w:pPr>
      <w:r w:rsidRPr="007914AA">
        <w:rPr>
          <w:b/>
        </w:rPr>
        <w:t>Responsible entity</w:t>
      </w:r>
      <w:r w:rsidR="00B23333" w:rsidRPr="007914AA">
        <w:rPr>
          <w:b/>
        </w:rPr>
        <w:t xml:space="preserve"> (for a public </w:t>
      </w:r>
      <w:r w:rsidR="005B0A36">
        <w:rPr>
          <w:b/>
        </w:rPr>
        <w:t xml:space="preserve">or independent </w:t>
      </w:r>
      <w:r w:rsidR="00B23333" w:rsidRPr="007914AA">
        <w:rPr>
          <w:b/>
        </w:rPr>
        <w:t>cemetery)</w:t>
      </w:r>
      <w:r w:rsidRPr="007914AA">
        <w:rPr>
          <w:b/>
        </w:rPr>
        <w:t xml:space="preserve"> </w:t>
      </w:r>
      <w:r w:rsidR="00B23333" w:rsidRPr="007914AA">
        <w:t xml:space="preserve">is an organisation, such as a local government council or a corporation that is responsible for the management of a public </w:t>
      </w:r>
      <w:r w:rsidR="00655D09">
        <w:t xml:space="preserve">or independent </w:t>
      </w:r>
      <w:r w:rsidR="00B23333" w:rsidRPr="007914AA">
        <w:t>cemetery</w:t>
      </w:r>
      <w:r w:rsidR="00655D09">
        <w:t xml:space="preserve"> </w:t>
      </w:r>
      <w:r w:rsidR="0041091B" w:rsidRPr="007914AA">
        <w:t xml:space="preserve">in accordance with section </w:t>
      </w:r>
      <w:r w:rsidR="007914AA" w:rsidRPr="007914AA">
        <w:t>22 of the Act</w:t>
      </w:r>
      <w:r w:rsidR="00B23333" w:rsidRPr="007914AA">
        <w:t>.</w:t>
      </w:r>
    </w:p>
    <w:p w14:paraId="4E9229B0" w14:textId="77777777" w:rsidR="00B23333" w:rsidRPr="007914AA" w:rsidRDefault="00B23333" w:rsidP="00CE2E2E">
      <w:pPr>
        <w:tabs>
          <w:tab w:val="left" w:pos="1133"/>
        </w:tabs>
        <w:spacing w:after="0" w:line="240" w:lineRule="auto"/>
        <w:ind w:left="720"/>
      </w:pPr>
    </w:p>
    <w:p w14:paraId="51EF0615" w14:textId="4896DAF8" w:rsidR="008D2FE6" w:rsidRDefault="007914AA" w:rsidP="009F5C70">
      <w:pPr>
        <w:pStyle w:val="ListParagraph"/>
        <w:numPr>
          <w:ilvl w:val="0"/>
          <w:numId w:val="33"/>
        </w:numPr>
        <w:spacing w:before="240"/>
        <w:rPr>
          <w:b/>
          <w:sz w:val="32"/>
          <w:szCs w:val="32"/>
        </w:rPr>
      </w:pPr>
      <w:r w:rsidRPr="007914AA">
        <w:rPr>
          <w:b/>
          <w:sz w:val="32"/>
          <w:szCs w:val="32"/>
        </w:rPr>
        <w:t>Application of the policy</w:t>
      </w:r>
    </w:p>
    <w:p w14:paraId="5E5B401F" w14:textId="77777777" w:rsidR="009F5C70" w:rsidRDefault="009F5C70" w:rsidP="009F5C70">
      <w:pPr>
        <w:pStyle w:val="ListParagraph"/>
        <w:spacing w:after="0"/>
        <w:rPr>
          <w:b/>
          <w:sz w:val="32"/>
          <w:szCs w:val="32"/>
        </w:rPr>
      </w:pPr>
    </w:p>
    <w:p w14:paraId="283ED790" w14:textId="5AF89D65" w:rsidR="007914AA" w:rsidRPr="003D233E" w:rsidRDefault="007914AA" w:rsidP="001757FD">
      <w:pPr>
        <w:pStyle w:val="ListParagraph"/>
        <w:spacing w:before="240"/>
        <w:jc w:val="both"/>
        <w:rPr>
          <w:b/>
          <w:color w:val="595959" w:themeColor="text1" w:themeTint="A6"/>
          <w:sz w:val="28"/>
          <w:szCs w:val="28"/>
        </w:rPr>
      </w:pPr>
      <w:r w:rsidRPr="003D233E">
        <w:rPr>
          <w:b/>
          <w:color w:val="595959" w:themeColor="text1" w:themeTint="A6"/>
          <w:sz w:val="28"/>
          <w:szCs w:val="28"/>
        </w:rPr>
        <w:t>3.1</w:t>
      </w:r>
      <w:r w:rsidR="006D627C" w:rsidRPr="003D233E">
        <w:rPr>
          <w:b/>
          <w:color w:val="595959" w:themeColor="text1" w:themeTint="A6"/>
          <w:sz w:val="28"/>
          <w:szCs w:val="28"/>
        </w:rPr>
        <w:t xml:space="preserve"> </w:t>
      </w:r>
      <w:r w:rsidR="001B7D33" w:rsidRPr="003D233E">
        <w:rPr>
          <w:b/>
          <w:color w:val="595959" w:themeColor="text1" w:themeTint="A6"/>
          <w:sz w:val="28"/>
          <w:szCs w:val="28"/>
        </w:rPr>
        <w:t>Applying for an e</w:t>
      </w:r>
      <w:r w:rsidR="006D627C" w:rsidRPr="003D233E">
        <w:rPr>
          <w:b/>
          <w:color w:val="595959" w:themeColor="text1" w:themeTint="A6"/>
          <w:sz w:val="28"/>
          <w:szCs w:val="28"/>
        </w:rPr>
        <w:t>xclusive right of burial</w:t>
      </w:r>
    </w:p>
    <w:p w14:paraId="7759875C" w14:textId="46174E92" w:rsidR="001B7D33" w:rsidRPr="007914AA" w:rsidRDefault="001B7D33" w:rsidP="001757FD">
      <w:pPr>
        <w:spacing w:after="120" w:line="240" w:lineRule="auto"/>
        <w:ind w:left="720"/>
        <w:jc w:val="both"/>
      </w:pPr>
      <w:r w:rsidRPr="007914AA">
        <w:t>A grantee with an</w:t>
      </w:r>
      <w:r>
        <w:t xml:space="preserve"> e</w:t>
      </w:r>
      <w:r w:rsidRPr="007914AA">
        <w:t>xclusive right of burial holds the burial rights to a</w:t>
      </w:r>
      <w:r w:rsidR="00312191">
        <w:t>n allocated</w:t>
      </w:r>
      <w:r w:rsidRPr="007914AA">
        <w:t xml:space="preserve"> plot in a public cemetery</w:t>
      </w:r>
      <w:r>
        <w:t xml:space="preserve"> or independent </w:t>
      </w:r>
      <w:r w:rsidR="0042332E">
        <w:t>cemetery</w:t>
      </w:r>
      <w:r w:rsidRPr="007914AA">
        <w:t>. These include</w:t>
      </w:r>
      <w:r>
        <w:t xml:space="preserve"> the right to</w:t>
      </w:r>
      <w:r w:rsidRPr="007914AA">
        <w:t>:</w:t>
      </w:r>
    </w:p>
    <w:p w14:paraId="40AACA5C" w14:textId="15DF758F" w:rsidR="001B7D33" w:rsidRPr="007914AA" w:rsidRDefault="001B7D33" w:rsidP="001757FD">
      <w:pPr>
        <w:pStyle w:val="ListParagraph"/>
        <w:numPr>
          <w:ilvl w:val="0"/>
          <w:numId w:val="10"/>
        </w:numPr>
        <w:spacing w:after="120" w:line="240" w:lineRule="auto"/>
        <w:ind w:left="1080"/>
        <w:contextualSpacing w:val="0"/>
        <w:jc w:val="both"/>
      </w:pPr>
      <w:r w:rsidRPr="007914AA">
        <w:t xml:space="preserve">bury humans remains in accordance with the </w:t>
      </w:r>
      <w:r>
        <w:t xml:space="preserve">terms and conditions for the exclusive right of burial for the </w:t>
      </w:r>
      <w:r w:rsidR="00655D09">
        <w:t>allocated</w:t>
      </w:r>
      <w:r w:rsidRPr="007914AA">
        <w:t xml:space="preserve"> burial site; </w:t>
      </w:r>
    </w:p>
    <w:p w14:paraId="732201A9" w14:textId="77777777" w:rsidR="001B7D33" w:rsidRPr="007914AA" w:rsidRDefault="001B7D33" w:rsidP="001757FD">
      <w:pPr>
        <w:pStyle w:val="ListParagraph"/>
        <w:numPr>
          <w:ilvl w:val="0"/>
          <w:numId w:val="10"/>
        </w:numPr>
        <w:spacing w:after="120" w:line="240" w:lineRule="auto"/>
        <w:ind w:left="1080"/>
        <w:contextualSpacing w:val="0"/>
        <w:jc w:val="both"/>
      </w:pPr>
      <w:r>
        <w:t>appoint</w:t>
      </w:r>
      <w:r w:rsidRPr="007914AA">
        <w:t xml:space="preserve"> </w:t>
      </w:r>
      <w:r>
        <w:t xml:space="preserve">a </w:t>
      </w:r>
      <w:r w:rsidRPr="007914AA">
        <w:t xml:space="preserve">personal representative to </w:t>
      </w:r>
      <w:r>
        <w:t>the e</w:t>
      </w:r>
      <w:r w:rsidRPr="007914AA">
        <w:t xml:space="preserve">xclusive right of burial once the grantee is deceased; </w:t>
      </w:r>
    </w:p>
    <w:p w14:paraId="7AA6B337" w14:textId="77777777" w:rsidR="001B7D33" w:rsidRPr="007914AA" w:rsidRDefault="001B7D33" w:rsidP="001757FD">
      <w:pPr>
        <w:pStyle w:val="ListParagraph"/>
        <w:numPr>
          <w:ilvl w:val="0"/>
          <w:numId w:val="10"/>
        </w:numPr>
        <w:spacing w:after="120" w:line="240" w:lineRule="auto"/>
        <w:ind w:left="1080"/>
        <w:contextualSpacing w:val="0"/>
        <w:jc w:val="both"/>
      </w:pPr>
      <w:r w:rsidRPr="007914AA">
        <w:t xml:space="preserve">specify persons whose human remains are to be buried at the burial site; and </w:t>
      </w:r>
    </w:p>
    <w:p w14:paraId="68364AE0" w14:textId="77777777" w:rsidR="001B7D33" w:rsidRPr="007914AA" w:rsidRDefault="001B7D33" w:rsidP="001757FD">
      <w:pPr>
        <w:pStyle w:val="ListParagraph"/>
        <w:numPr>
          <w:ilvl w:val="0"/>
          <w:numId w:val="10"/>
        </w:numPr>
        <w:spacing w:after="120" w:line="240" w:lineRule="auto"/>
        <w:ind w:left="1080"/>
        <w:contextualSpacing w:val="0"/>
        <w:jc w:val="both"/>
      </w:pPr>
      <w:proofErr w:type="gramStart"/>
      <w:r>
        <w:t>stipulate</w:t>
      </w:r>
      <w:proofErr w:type="gramEnd"/>
      <w:r w:rsidRPr="007914AA">
        <w:t xml:space="preserve"> conditions </w:t>
      </w:r>
      <w:r>
        <w:t>for</w:t>
      </w:r>
      <w:r w:rsidRPr="007914AA">
        <w:t xml:space="preserve"> the exercise of the </w:t>
      </w:r>
      <w:r>
        <w:t>exclusive right of burial</w:t>
      </w:r>
      <w:r w:rsidRPr="007914AA">
        <w:t xml:space="preserve">. </w:t>
      </w:r>
    </w:p>
    <w:p w14:paraId="0AFE2D4B" w14:textId="2EAA0659" w:rsidR="007C3B91" w:rsidRDefault="005B0A36" w:rsidP="001757FD">
      <w:pPr>
        <w:spacing w:after="120" w:line="240" w:lineRule="auto"/>
        <w:ind w:left="720"/>
        <w:jc w:val="both"/>
      </w:pPr>
      <w:r w:rsidRPr="007914AA">
        <w:t>To be granted an exclusive right of burial</w:t>
      </w:r>
      <w:r>
        <w:t>,</w:t>
      </w:r>
      <w:r w:rsidRPr="007914AA">
        <w:t xml:space="preserve"> the grantee </w:t>
      </w:r>
      <w:r w:rsidR="00AF1A6D">
        <w:t>has</w:t>
      </w:r>
      <w:r w:rsidRPr="007914AA">
        <w:t xml:space="preserve"> to fill out an application form </w:t>
      </w:r>
      <w:r>
        <w:t xml:space="preserve">and </w:t>
      </w:r>
      <w:r w:rsidRPr="007914AA">
        <w:t xml:space="preserve">pay the full </w:t>
      </w:r>
      <w:r>
        <w:t>fee for the exclusive right of burial</w:t>
      </w:r>
      <w:r w:rsidRPr="007914AA">
        <w:t xml:space="preserve">. </w:t>
      </w:r>
    </w:p>
    <w:p w14:paraId="39271714" w14:textId="5A550A5F" w:rsidR="007C3B91" w:rsidRDefault="007A6336" w:rsidP="001757FD">
      <w:pPr>
        <w:spacing w:after="120" w:line="240" w:lineRule="auto"/>
        <w:ind w:left="720"/>
        <w:jc w:val="both"/>
      </w:pPr>
      <w:r>
        <w:t xml:space="preserve">An exclusive right of burial cannot commence until it has been approved by the </w:t>
      </w:r>
      <w:r w:rsidR="005B0A36">
        <w:t xml:space="preserve">cemetery manager </w:t>
      </w:r>
      <w:r w:rsidR="00452A9A" w:rsidRPr="007914AA">
        <w:t xml:space="preserve">or </w:t>
      </w:r>
      <w:r w:rsidR="006D627C">
        <w:t>the</w:t>
      </w:r>
      <w:r w:rsidR="005B0A36">
        <w:t xml:space="preserve"> cemetery</w:t>
      </w:r>
      <w:r w:rsidR="006D627C">
        <w:t xml:space="preserve"> manager’s delegate</w:t>
      </w:r>
      <w:r w:rsidR="005B0A36">
        <w:t>.</w:t>
      </w:r>
      <w:r w:rsidR="00AF1A6D">
        <w:t xml:space="preserve"> Upon approval, the grantee will receive a </w:t>
      </w:r>
      <w:r w:rsidR="007C3B91">
        <w:t>certificate</w:t>
      </w:r>
      <w:r w:rsidR="00AF1A6D">
        <w:t xml:space="preserve"> of </w:t>
      </w:r>
      <w:r w:rsidR="007C3B91">
        <w:t xml:space="preserve">grant of exclusive right of burial. </w:t>
      </w:r>
    </w:p>
    <w:p w14:paraId="2D021EFB" w14:textId="5D2F83F6" w:rsidR="00452A9A" w:rsidRDefault="00452A9A" w:rsidP="001757FD">
      <w:pPr>
        <w:spacing w:after="120" w:line="240" w:lineRule="auto"/>
        <w:ind w:left="720"/>
        <w:jc w:val="both"/>
      </w:pPr>
      <w:r w:rsidRPr="007914AA">
        <w:t xml:space="preserve">An exclusive right </w:t>
      </w:r>
      <w:r w:rsidR="007A6336">
        <w:t xml:space="preserve">of burial </w:t>
      </w:r>
      <w:r w:rsidRPr="007914AA">
        <w:t>can be granted with</w:t>
      </w:r>
      <w:r w:rsidR="007A6336">
        <w:t>in 12 months following a burial or</w:t>
      </w:r>
      <w:r w:rsidRPr="007914AA">
        <w:t xml:space="preserve"> interment within a </w:t>
      </w:r>
      <w:r w:rsidR="00CB67A0">
        <w:t xml:space="preserve">public or </w:t>
      </w:r>
      <w:r w:rsidR="009F5C70">
        <w:t xml:space="preserve">independent </w:t>
      </w:r>
      <w:r w:rsidR="009F5C70" w:rsidRPr="007914AA">
        <w:t>cemetery</w:t>
      </w:r>
      <w:r w:rsidRPr="007914AA">
        <w:t xml:space="preserve">. </w:t>
      </w:r>
    </w:p>
    <w:p w14:paraId="2323E6F4" w14:textId="395D97E4" w:rsidR="007C3B91" w:rsidRPr="009D1147" w:rsidRDefault="009D1147" w:rsidP="001757FD">
      <w:pPr>
        <w:spacing w:after="0" w:line="240" w:lineRule="auto"/>
        <w:ind w:left="720"/>
        <w:jc w:val="both"/>
      </w:pPr>
      <w:r>
        <w:t xml:space="preserve">Exclusive rights of burial granted under the repealed </w:t>
      </w:r>
      <w:r w:rsidRPr="009D1147">
        <w:rPr>
          <w:i/>
        </w:rPr>
        <w:t>Cemeteries Act 1952</w:t>
      </w:r>
      <w:r>
        <w:t xml:space="preserve"> are valid under the Act. </w:t>
      </w:r>
    </w:p>
    <w:p w14:paraId="109F2F82" w14:textId="77777777" w:rsidR="009D1147" w:rsidRPr="007914AA" w:rsidRDefault="009D1147" w:rsidP="001757FD">
      <w:pPr>
        <w:spacing w:after="0" w:line="240" w:lineRule="auto"/>
        <w:ind w:left="720"/>
        <w:jc w:val="both"/>
      </w:pPr>
    </w:p>
    <w:p w14:paraId="60D3277A" w14:textId="134F669E" w:rsidR="007A6336" w:rsidRDefault="007A6336" w:rsidP="001757FD">
      <w:pPr>
        <w:pStyle w:val="Heading2"/>
        <w:spacing w:before="0"/>
        <w:ind w:left="1440"/>
        <w:rPr>
          <w:color w:val="808080" w:themeColor="background1" w:themeShade="80"/>
          <w:sz w:val="28"/>
          <w:szCs w:val="28"/>
        </w:rPr>
      </w:pPr>
      <w:r w:rsidRPr="007A6336">
        <w:rPr>
          <w:color w:val="808080" w:themeColor="background1" w:themeShade="80"/>
          <w:sz w:val="28"/>
          <w:szCs w:val="28"/>
        </w:rPr>
        <w:t xml:space="preserve">3.2 </w:t>
      </w:r>
      <w:r w:rsidR="002A04BC" w:rsidRPr="007A6336">
        <w:rPr>
          <w:color w:val="808080" w:themeColor="background1" w:themeShade="80"/>
          <w:sz w:val="28"/>
          <w:szCs w:val="28"/>
        </w:rPr>
        <w:t>Register</w:t>
      </w:r>
    </w:p>
    <w:p w14:paraId="1E6A82C1" w14:textId="77777777" w:rsidR="009F5C70" w:rsidRPr="007914AA" w:rsidRDefault="009F5C70" w:rsidP="001757FD">
      <w:pPr>
        <w:spacing w:after="120" w:line="240" w:lineRule="auto"/>
        <w:ind w:left="720"/>
        <w:jc w:val="both"/>
      </w:pPr>
      <w:r w:rsidRPr="007914AA">
        <w:t xml:space="preserve">The responsible entity </w:t>
      </w:r>
      <w:r>
        <w:t xml:space="preserve">for a public cemetery or independent cemetery that grants exclusive rights of burial </w:t>
      </w:r>
      <w:r w:rsidRPr="007914AA">
        <w:t xml:space="preserve">must maintain a register of all certificates </w:t>
      </w:r>
      <w:r>
        <w:t xml:space="preserve">granted for an exclusive right of burial. The register must </w:t>
      </w:r>
      <w:r w:rsidRPr="007914AA">
        <w:t xml:space="preserve">include: </w:t>
      </w:r>
    </w:p>
    <w:p w14:paraId="7726E9D8" w14:textId="77777777" w:rsidR="009F5C70" w:rsidRPr="007914AA" w:rsidRDefault="009F5C70" w:rsidP="001757FD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>
        <w:t xml:space="preserve">the </w:t>
      </w:r>
      <w:r w:rsidRPr="007914AA">
        <w:t>full name, address and contact details of the grantee;</w:t>
      </w:r>
    </w:p>
    <w:p w14:paraId="2AE60B77" w14:textId="77777777" w:rsidR="009F5C70" w:rsidRPr="007914AA" w:rsidRDefault="009F5C70" w:rsidP="001757FD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>
        <w:lastRenderedPageBreak/>
        <w:t xml:space="preserve">details of the </w:t>
      </w:r>
      <w:r w:rsidRPr="007914AA">
        <w:t xml:space="preserve">burial </w:t>
      </w:r>
      <w:r>
        <w:t>location for each exclusive right of burial</w:t>
      </w:r>
      <w:r w:rsidRPr="007914AA">
        <w:t xml:space="preserve">; </w:t>
      </w:r>
    </w:p>
    <w:p w14:paraId="5652A1C8" w14:textId="77777777" w:rsidR="009F5C70" w:rsidRPr="007914AA" w:rsidRDefault="009F5C70" w:rsidP="001757FD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 w:rsidRPr="007914AA">
        <w:t xml:space="preserve">information recorded on the </w:t>
      </w:r>
      <w:r>
        <w:t>certificate of grant of exclusive right of burial</w:t>
      </w:r>
      <w:r w:rsidRPr="007914AA">
        <w:t xml:space="preserve">; </w:t>
      </w:r>
    </w:p>
    <w:p w14:paraId="3B154F6C" w14:textId="596BFC29" w:rsidR="009F5C70" w:rsidRPr="007914AA" w:rsidRDefault="009F5C70" w:rsidP="001757FD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r w:rsidRPr="007914AA">
        <w:t xml:space="preserve">an expiry date </w:t>
      </w:r>
      <w:r w:rsidR="003B2375">
        <w:t>for</w:t>
      </w:r>
      <w:r w:rsidRPr="007914AA">
        <w:t xml:space="preserve"> each exclusive right of burial granted; and </w:t>
      </w:r>
    </w:p>
    <w:p w14:paraId="3B94ACF0" w14:textId="525A16FF" w:rsidR="009F5C70" w:rsidRPr="007914AA" w:rsidRDefault="009F5C70" w:rsidP="001757FD">
      <w:pPr>
        <w:pStyle w:val="ListParagraph"/>
        <w:numPr>
          <w:ilvl w:val="0"/>
          <w:numId w:val="12"/>
        </w:numPr>
        <w:spacing w:after="120" w:line="240" w:lineRule="auto"/>
        <w:contextualSpacing w:val="0"/>
        <w:jc w:val="both"/>
      </w:pPr>
      <w:proofErr w:type="gramStart"/>
      <w:r>
        <w:t>if</w:t>
      </w:r>
      <w:proofErr w:type="gramEnd"/>
      <w:r>
        <w:t xml:space="preserve"> applicable, the </w:t>
      </w:r>
      <w:r w:rsidRPr="007914AA">
        <w:t xml:space="preserve">full contact details of </w:t>
      </w:r>
      <w:r w:rsidR="003B2375">
        <w:t xml:space="preserve">the </w:t>
      </w:r>
      <w:r w:rsidRPr="007914AA">
        <w:t>grantee</w:t>
      </w:r>
      <w:r>
        <w:t>’</w:t>
      </w:r>
      <w:r w:rsidRPr="007914AA">
        <w:t xml:space="preserve">s personal representatives. </w:t>
      </w:r>
    </w:p>
    <w:p w14:paraId="51BB50B2" w14:textId="77777777" w:rsidR="009F5C70" w:rsidRPr="007914AA" w:rsidRDefault="009F5C70" w:rsidP="001757FD">
      <w:pPr>
        <w:spacing w:after="120" w:line="240" w:lineRule="auto"/>
        <w:ind w:left="720"/>
        <w:jc w:val="both"/>
      </w:pPr>
      <w:r w:rsidRPr="007914AA">
        <w:rPr>
          <w:rFonts w:eastAsia="Times New Roman"/>
        </w:rPr>
        <w:t xml:space="preserve">The register must not be accessible to the public. </w:t>
      </w:r>
    </w:p>
    <w:p w14:paraId="2B09DF01" w14:textId="77777777" w:rsidR="001B7D33" w:rsidRPr="001B7D33" w:rsidRDefault="001B7D33" w:rsidP="001757FD">
      <w:pPr>
        <w:spacing w:after="0"/>
        <w:ind w:left="720"/>
        <w:jc w:val="both"/>
      </w:pPr>
    </w:p>
    <w:p w14:paraId="17B29389" w14:textId="2FCE4D92" w:rsidR="007C3B91" w:rsidRPr="009F5C70" w:rsidRDefault="007C3B91" w:rsidP="001757FD">
      <w:pPr>
        <w:jc w:val="both"/>
        <w:rPr>
          <w:b/>
          <w:sz w:val="28"/>
          <w:szCs w:val="28"/>
        </w:rPr>
      </w:pPr>
      <w:r>
        <w:tab/>
      </w:r>
      <w:r w:rsidRPr="003D233E">
        <w:rPr>
          <w:b/>
          <w:color w:val="595959" w:themeColor="text1" w:themeTint="A6"/>
          <w:sz w:val="28"/>
          <w:szCs w:val="28"/>
        </w:rPr>
        <w:t xml:space="preserve">3.3 Transfer and surrender </w:t>
      </w:r>
    </w:p>
    <w:p w14:paraId="34CDE6D4" w14:textId="2E8352F4" w:rsidR="002A04BC" w:rsidRDefault="009F5C70" w:rsidP="001757FD">
      <w:pPr>
        <w:spacing w:after="120" w:line="240" w:lineRule="auto"/>
        <w:ind w:left="720"/>
        <w:jc w:val="both"/>
      </w:pPr>
      <w:r>
        <w:t xml:space="preserve">An exclusive right of burial granted under the Act is not </w:t>
      </w:r>
      <w:r w:rsidR="002A04BC" w:rsidRPr="007914AA">
        <w:t>transferable</w:t>
      </w:r>
      <w:r>
        <w:t xml:space="preserve"> to another person</w:t>
      </w:r>
      <w:r w:rsidR="002A04BC" w:rsidRPr="007914AA">
        <w:t xml:space="preserve">. </w:t>
      </w:r>
    </w:p>
    <w:p w14:paraId="7F121562" w14:textId="2E7E0523" w:rsidR="009F5C70" w:rsidRPr="009F5C70" w:rsidRDefault="009F5C70" w:rsidP="001757FD">
      <w:pPr>
        <w:spacing w:after="120" w:line="240" w:lineRule="auto"/>
        <w:ind w:left="720"/>
        <w:jc w:val="both"/>
        <w:rPr>
          <w:i/>
        </w:rPr>
      </w:pPr>
      <w:r>
        <w:t xml:space="preserve">An exclusive right of burial </w:t>
      </w:r>
      <w:r w:rsidR="00836867">
        <w:t xml:space="preserve">that has not expired and was </w:t>
      </w:r>
      <w:r>
        <w:t xml:space="preserve">granted under the repealed </w:t>
      </w:r>
      <w:r>
        <w:rPr>
          <w:i/>
        </w:rPr>
        <w:t xml:space="preserve">Cemeteries Act 1952 </w:t>
      </w:r>
      <w:r w:rsidRPr="009F5C70">
        <w:t>can be</w:t>
      </w:r>
      <w:r w:rsidR="003F34A0">
        <w:t xml:space="preserve"> transferred</w:t>
      </w:r>
      <w:r w:rsidR="00836867">
        <w:t xml:space="preserve"> once within 60 years of the commencement of the </w:t>
      </w:r>
      <w:r w:rsidR="00CD0666">
        <w:t>Act</w:t>
      </w:r>
      <w:r w:rsidR="003F34A0">
        <w:t xml:space="preserve">. </w:t>
      </w:r>
      <w:r w:rsidR="00593CAE">
        <w:t>D</w:t>
      </w:r>
      <w:r w:rsidR="003F34A0">
        <w:t>etails and conditions of the transfer must be</w:t>
      </w:r>
      <w:r w:rsidR="00CD0666">
        <w:t xml:space="preserve"> in accordance with regulation 18(2) of the repealed </w:t>
      </w:r>
      <w:r w:rsidR="00CD0666">
        <w:rPr>
          <w:i/>
        </w:rPr>
        <w:t>Cemeteries Regulations 1952</w:t>
      </w:r>
      <w:r w:rsidR="003D233E">
        <w:t>. Changes made to the exclusive right of burial must be</w:t>
      </w:r>
      <w:r w:rsidR="003F34A0">
        <w:t xml:space="preserve"> recorded in the certificate grant</w:t>
      </w:r>
      <w:r w:rsidR="001F4FEE">
        <w:t>ed</w:t>
      </w:r>
      <w:r w:rsidR="003F34A0">
        <w:t xml:space="preserve"> </w:t>
      </w:r>
      <w:r w:rsidR="001F4FEE">
        <w:t>for</w:t>
      </w:r>
      <w:r w:rsidR="003F34A0">
        <w:t xml:space="preserve"> </w:t>
      </w:r>
      <w:r w:rsidR="00836867">
        <w:t xml:space="preserve">the </w:t>
      </w:r>
      <w:r w:rsidR="003F34A0">
        <w:t>exclusive right</w:t>
      </w:r>
      <w:r w:rsidR="003D233E">
        <w:t xml:space="preserve"> of burial</w:t>
      </w:r>
      <w:r w:rsidR="003F34A0">
        <w:t xml:space="preserve"> and the </w:t>
      </w:r>
      <w:r w:rsidR="001F4FEE">
        <w:t xml:space="preserve">cemetery </w:t>
      </w:r>
      <w:r w:rsidR="003F34A0">
        <w:t xml:space="preserve">register of exclusive rights of burial. </w:t>
      </w:r>
    </w:p>
    <w:p w14:paraId="5A1D3193" w14:textId="24D402D9" w:rsidR="002A04BC" w:rsidRPr="007914AA" w:rsidRDefault="001F4FEE" w:rsidP="001757FD">
      <w:pPr>
        <w:spacing w:after="120" w:line="240" w:lineRule="auto"/>
        <w:ind w:left="720"/>
        <w:jc w:val="both"/>
      </w:pPr>
      <w:r>
        <w:t xml:space="preserve">A grantee of an </w:t>
      </w:r>
      <w:r w:rsidR="002A04BC" w:rsidRPr="007914AA">
        <w:t xml:space="preserve">unexercised right </w:t>
      </w:r>
      <w:r>
        <w:t xml:space="preserve">of burial can surrender the right to the manager of the cemetery for which the right was granted. </w:t>
      </w:r>
      <w:r w:rsidR="002A04BC" w:rsidRPr="007914AA">
        <w:t xml:space="preserve"> </w:t>
      </w:r>
    </w:p>
    <w:p w14:paraId="2D03B716" w14:textId="2EAAF1A4" w:rsidR="002A04BC" w:rsidRPr="007914AA" w:rsidRDefault="00F32B22" w:rsidP="001757FD">
      <w:pPr>
        <w:spacing w:after="120" w:line="240" w:lineRule="auto"/>
        <w:ind w:left="720"/>
        <w:jc w:val="both"/>
      </w:pPr>
      <w:r>
        <w:t>After the surrender of an exclusive right of burial, a cemetery manager may:</w:t>
      </w:r>
      <w:r w:rsidR="002A04BC" w:rsidRPr="007914AA">
        <w:t xml:space="preserve"> </w:t>
      </w:r>
    </w:p>
    <w:p w14:paraId="029382F0" w14:textId="32C4B227" w:rsidR="002A04BC" w:rsidRPr="007914AA" w:rsidRDefault="002A04BC" w:rsidP="001757FD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jc w:val="both"/>
      </w:pPr>
      <w:r w:rsidRPr="007914AA">
        <w:t>grant a new exclusive right</w:t>
      </w:r>
      <w:r w:rsidR="00F32B22">
        <w:t xml:space="preserve"> of burial for the burial site</w:t>
      </w:r>
      <w:r w:rsidRPr="007914AA">
        <w:t>;</w:t>
      </w:r>
    </w:p>
    <w:p w14:paraId="7012F0A6" w14:textId="502ACD0F" w:rsidR="002A04BC" w:rsidRPr="007914AA" w:rsidRDefault="00F32B22" w:rsidP="001757FD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jc w:val="both"/>
      </w:pPr>
      <w:r>
        <w:t>approve</w:t>
      </w:r>
      <w:r w:rsidR="002A04BC" w:rsidRPr="007914AA">
        <w:t xml:space="preserve"> the burial of human</w:t>
      </w:r>
      <w:r>
        <w:t xml:space="preserve"> r</w:t>
      </w:r>
      <w:r w:rsidR="002A04BC" w:rsidRPr="007914AA">
        <w:t>emains</w:t>
      </w:r>
      <w:r>
        <w:t xml:space="preserve"> at the burial site</w:t>
      </w:r>
      <w:r w:rsidR="002A04BC" w:rsidRPr="007914AA">
        <w:t>;</w:t>
      </w:r>
    </w:p>
    <w:p w14:paraId="21A70ABE" w14:textId="72F202BD" w:rsidR="002A04BC" w:rsidRDefault="002A04BC" w:rsidP="001757FD">
      <w:pPr>
        <w:pStyle w:val="ListParagraph"/>
        <w:numPr>
          <w:ilvl w:val="0"/>
          <w:numId w:val="14"/>
        </w:numPr>
        <w:spacing w:after="120" w:line="240" w:lineRule="auto"/>
        <w:ind w:left="1080"/>
        <w:contextualSpacing w:val="0"/>
        <w:jc w:val="both"/>
      </w:pPr>
      <w:proofErr w:type="gramStart"/>
      <w:r w:rsidRPr="007914AA">
        <w:t>use</w:t>
      </w:r>
      <w:proofErr w:type="gramEnd"/>
      <w:r w:rsidRPr="007914AA">
        <w:t xml:space="preserve"> the area for a different purpose other than burying human remains. </w:t>
      </w:r>
    </w:p>
    <w:p w14:paraId="495FF8EE" w14:textId="77777777" w:rsidR="009D1147" w:rsidRPr="007914AA" w:rsidRDefault="009D1147" w:rsidP="001757FD">
      <w:pPr>
        <w:pStyle w:val="ListParagraph"/>
        <w:spacing w:after="0" w:line="240" w:lineRule="auto"/>
        <w:ind w:left="1080"/>
        <w:contextualSpacing w:val="0"/>
        <w:jc w:val="both"/>
      </w:pPr>
    </w:p>
    <w:p w14:paraId="419F1C09" w14:textId="7FEF678C" w:rsidR="009D1147" w:rsidRPr="009D1147" w:rsidRDefault="009D1147" w:rsidP="001757FD">
      <w:pPr>
        <w:pStyle w:val="Heading2"/>
        <w:ind w:left="1440"/>
        <w:rPr>
          <w:sz w:val="28"/>
          <w:szCs w:val="28"/>
        </w:rPr>
      </w:pPr>
      <w:r w:rsidRPr="009D1147">
        <w:rPr>
          <w:sz w:val="28"/>
          <w:szCs w:val="28"/>
        </w:rPr>
        <w:t xml:space="preserve">3.4 Refunds </w:t>
      </w:r>
    </w:p>
    <w:p w14:paraId="48229A35" w14:textId="76B8085B" w:rsidR="002A04BC" w:rsidRDefault="00A61BD2" w:rsidP="001757FD">
      <w:pPr>
        <w:spacing w:after="120" w:line="240" w:lineRule="auto"/>
        <w:ind w:left="720"/>
        <w:jc w:val="both"/>
      </w:pPr>
      <w:r>
        <w:t>Upon surrender of the right, and as per the cemetery’s policy for refunds of payments for exclusive rights o</w:t>
      </w:r>
      <w:r w:rsidR="005070D5">
        <w:t>f burial, a refund can be issued</w:t>
      </w:r>
      <w:r>
        <w:t xml:space="preserve"> for an unexercised exclusive right of burial.</w:t>
      </w:r>
      <w:r w:rsidR="002A04BC" w:rsidRPr="007914AA">
        <w:t xml:space="preserve"> </w:t>
      </w:r>
    </w:p>
    <w:p w14:paraId="4CF898FE" w14:textId="77777777" w:rsidR="00F32B22" w:rsidRPr="007914AA" w:rsidRDefault="00F32B22" w:rsidP="001757FD">
      <w:pPr>
        <w:spacing w:after="0" w:line="240" w:lineRule="auto"/>
        <w:ind w:left="720"/>
        <w:jc w:val="both"/>
      </w:pPr>
    </w:p>
    <w:p w14:paraId="5CF20717" w14:textId="2A15A449" w:rsidR="00C262E1" w:rsidRPr="00F32B22" w:rsidRDefault="00F32B22" w:rsidP="001757FD">
      <w:pPr>
        <w:pStyle w:val="Heading2"/>
        <w:ind w:left="1440"/>
        <w:rPr>
          <w:sz w:val="28"/>
          <w:szCs w:val="28"/>
        </w:rPr>
      </w:pPr>
      <w:r w:rsidRPr="00F32B22">
        <w:rPr>
          <w:sz w:val="28"/>
          <w:szCs w:val="28"/>
        </w:rPr>
        <w:t>3.5</w:t>
      </w:r>
      <w:r w:rsidR="00A61BD2">
        <w:rPr>
          <w:sz w:val="28"/>
          <w:szCs w:val="28"/>
        </w:rPr>
        <w:t xml:space="preserve"> </w:t>
      </w:r>
      <w:r w:rsidR="005969B3" w:rsidRPr="00F32B22">
        <w:rPr>
          <w:sz w:val="28"/>
          <w:szCs w:val="28"/>
        </w:rPr>
        <w:t xml:space="preserve">Renewal </w:t>
      </w:r>
      <w:r>
        <w:rPr>
          <w:sz w:val="28"/>
          <w:szCs w:val="28"/>
        </w:rPr>
        <w:t xml:space="preserve">of exclusive rights of burial </w:t>
      </w:r>
      <w:r w:rsidR="005969B3" w:rsidRPr="00F32B22">
        <w:rPr>
          <w:sz w:val="28"/>
          <w:szCs w:val="28"/>
        </w:rPr>
        <w:t xml:space="preserve"> </w:t>
      </w:r>
    </w:p>
    <w:p w14:paraId="21E92D87" w14:textId="12C381F6" w:rsidR="00C262E1" w:rsidRDefault="00C53089" w:rsidP="001757FD">
      <w:pPr>
        <w:spacing w:after="120" w:line="240" w:lineRule="auto"/>
        <w:ind w:left="720"/>
        <w:jc w:val="both"/>
      </w:pPr>
      <w:r>
        <w:t xml:space="preserve">An exclusive right of burial can be renewed more than once for </w:t>
      </w:r>
      <w:r w:rsidR="00441D5F">
        <w:t xml:space="preserve">an additional </w:t>
      </w:r>
      <w:r>
        <w:t xml:space="preserve">maximum period not exceeding </w:t>
      </w:r>
      <w:r w:rsidR="00C262E1" w:rsidRPr="007914AA">
        <w:t xml:space="preserve">50 years. </w:t>
      </w:r>
    </w:p>
    <w:p w14:paraId="2AF935D5" w14:textId="06F1A133" w:rsidR="00441D5F" w:rsidRDefault="00441D5F" w:rsidP="001757FD">
      <w:pPr>
        <w:spacing w:after="120" w:line="240" w:lineRule="auto"/>
        <w:ind w:left="720"/>
        <w:jc w:val="both"/>
      </w:pPr>
      <w:r>
        <w:t>An application to renew an exclusive right of burial can be made by:</w:t>
      </w:r>
    </w:p>
    <w:p w14:paraId="7EC1E868" w14:textId="286D0E3B" w:rsidR="0090361B" w:rsidRDefault="00B00E84" w:rsidP="001757FD">
      <w:pPr>
        <w:pStyle w:val="ListParagraph"/>
        <w:numPr>
          <w:ilvl w:val="0"/>
          <w:numId w:val="38"/>
        </w:numPr>
        <w:spacing w:after="120" w:line="240" w:lineRule="auto"/>
        <w:jc w:val="both"/>
      </w:pPr>
      <w:r>
        <w:t>t</w:t>
      </w:r>
      <w:r w:rsidR="0090361B">
        <w:t xml:space="preserve">he grantee </w:t>
      </w:r>
    </w:p>
    <w:p w14:paraId="1EBD80FF" w14:textId="77777777" w:rsidR="00BB29AE" w:rsidRDefault="00B00E84" w:rsidP="001757FD">
      <w:pPr>
        <w:pStyle w:val="ListParagraph"/>
        <w:numPr>
          <w:ilvl w:val="0"/>
          <w:numId w:val="38"/>
        </w:numPr>
        <w:spacing w:after="120" w:line="240" w:lineRule="auto"/>
        <w:jc w:val="both"/>
      </w:pPr>
      <w:r>
        <w:t>t</w:t>
      </w:r>
      <w:r w:rsidR="0090361B">
        <w:t xml:space="preserve">he representative </w:t>
      </w:r>
      <w:r w:rsidR="00987B92">
        <w:t>of</w:t>
      </w:r>
      <w:r w:rsidR="0090361B">
        <w:t xml:space="preserve"> the exclusive right of burial</w:t>
      </w:r>
    </w:p>
    <w:p w14:paraId="52258A96" w14:textId="0EAB9613" w:rsidR="0090361B" w:rsidRPr="007914AA" w:rsidRDefault="00BB29AE" w:rsidP="001757FD">
      <w:pPr>
        <w:pStyle w:val="ListParagraph"/>
        <w:numPr>
          <w:ilvl w:val="0"/>
          <w:numId w:val="38"/>
        </w:numPr>
        <w:spacing w:after="120" w:line="240" w:lineRule="auto"/>
        <w:jc w:val="both"/>
      </w:pPr>
      <w:r>
        <w:t>the decision maker for the grantee</w:t>
      </w:r>
      <w:r w:rsidR="0090361B">
        <w:t xml:space="preserve"> </w:t>
      </w:r>
    </w:p>
    <w:p w14:paraId="09844952" w14:textId="62508EC9" w:rsidR="00C262E1" w:rsidRPr="007914AA" w:rsidRDefault="00B00E84" w:rsidP="001757FD">
      <w:pPr>
        <w:spacing w:after="120" w:line="240" w:lineRule="auto"/>
        <w:ind w:left="720"/>
        <w:jc w:val="both"/>
      </w:pPr>
      <w:r>
        <w:t>A grantee</w:t>
      </w:r>
      <w:r w:rsidR="00BB29AE">
        <w:t>,</w:t>
      </w:r>
      <w:r>
        <w:t xml:space="preserve"> representative of an exclusive right of burial</w:t>
      </w:r>
      <w:r w:rsidR="00BB29AE">
        <w:t xml:space="preserve"> or decision maker</w:t>
      </w:r>
      <w:r>
        <w:t xml:space="preserve"> should be notified about the impending expiry of the exclusive right of burial. The notification should be done by the cemetery manager between 1</w:t>
      </w:r>
      <w:r w:rsidR="00C262E1" w:rsidRPr="007914AA">
        <w:t>2 months</w:t>
      </w:r>
      <w:r w:rsidR="00441D5F">
        <w:t xml:space="preserve"> and </w:t>
      </w:r>
      <w:r>
        <w:t>28 days before the expiry of the exclusive right of burial.</w:t>
      </w:r>
    </w:p>
    <w:p w14:paraId="32FD87E3" w14:textId="4BE51181" w:rsidR="00C262E1" w:rsidRPr="007914AA" w:rsidRDefault="00C262E1" w:rsidP="001757FD">
      <w:pPr>
        <w:spacing w:after="120" w:line="240" w:lineRule="auto"/>
        <w:ind w:left="720"/>
        <w:jc w:val="both"/>
      </w:pPr>
      <w:r w:rsidRPr="007914AA">
        <w:t>If a</w:t>
      </w:r>
      <w:r w:rsidR="0069287F">
        <w:t xml:space="preserve">n </w:t>
      </w:r>
      <w:r w:rsidRPr="007914AA">
        <w:t>exclusive</w:t>
      </w:r>
      <w:r w:rsidR="00987B92">
        <w:t xml:space="preserve"> right</w:t>
      </w:r>
      <w:r w:rsidR="0069287F">
        <w:t xml:space="preserve"> of burial is renewed</w:t>
      </w:r>
      <w:r w:rsidR="00987B92">
        <w:t xml:space="preserve"> for an additional period, t</w:t>
      </w:r>
      <w:r w:rsidRPr="007914AA">
        <w:t xml:space="preserve">he </w:t>
      </w:r>
      <w:r w:rsidR="0069287F">
        <w:t>applicant</w:t>
      </w:r>
      <w:r w:rsidRPr="007914AA">
        <w:t xml:space="preserve"> will need to: </w:t>
      </w:r>
    </w:p>
    <w:p w14:paraId="4352D2AD" w14:textId="3BF71BF2" w:rsidR="00C262E1" w:rsidRPr="007914AA" w:rsidRDefault="0069287F" w:rsidP="001757FD">
      <w:pPr>
        <w:pStyle w:val="ListParagraph"/>
        <w:numPr>
          <w:ilvl w:val="0"/>
          <w:numId w:val="17"/>
        </w:numPr>
        <w:spacing w:after="120" w:line="240" w:lineRule="auto"/>
        <w:ind w:left="1080"/>
        <w:contextualSpacing w:val="0"/>
        <w:jc w:val="both"/>
      </w:pPr>
      <w:r>
        <w:t xml:space="preserve">fill out a form to renew </w:t>
      </w:r>
      <w:r w:rsidR="00B00E84">
        <w:t>the exclusive right of burial</w:t>
      </w:r>
      <w:r w:rsidR="00C262E1" w:rsidRPr="007914AA">
        <w:t xml:space="preserve">; and </w:t>
      </w:r>
    </w:p>
    <w:p w14:paraId="5B690E10" w14:textId="1C071DAE" w:rsidR="00C262E1" w:rsidRPr="007914AA" w:rsidRDefault="00B00E84" w:rsidP="001757FD">
      <w:pPr>
        <w:pStyle w:val="ListParagraph"/>
        <w:numPr>
          <w:ilvl w:val="0"/>
          <w:numId w:val="17"/>
        </w:numPr>
        <w:spacing w:after="120" w:line="240" w:lineRule="auto"/>
        <w:ind w:left="1080"/>
        <w:contextualSpacing w:val="0"/>
        <w:jc w:val="both"/>
      </w:pPr>
      <w:proofErr w:type="gramStart"/>
      <w:r>
        <w:t>pay</w:t>
      </w:r>
      <w:proofErr w:type="gramEnd"/>
      <w:r>
        <w:t xml:space="preserve"> the appropriate renewal fee</w:t>
      </w:r>
      <w:r w:rsidR="00C262E1" w:rsidRPr="007914AA">
        <w:t xml:space="preserve">. </w:t>
      </w:r>
    </w:p>
    <w:p w14:paraId="742D5507" w14:textId="3B7D0F15" w:rsidR="00C262E1" w:rsidRDefault="00B00E84" w:rsidP="001757FD">
      <w:pPr>
        <w:spacing w:after="120" w:line="240" w:lineRule="auto"/>
        <w:ind w:left="720"/>
        <w:jc w:val="both"/>
      </w:pPr>
      <w:r>
        <w:t xml:space="preserve">Late applications </w:t>
      </w:r>
      <w:r w:rsidR="00312191">
        <w:t>may</w:t>
      </w:r>
      <w:r>
        <w:t xml:space="preserve"> be accepted, but</w:t>
      </w:r>
      <w:r w:rsidR="00C262E1" w:rsidRPr="007914AA">
        <w:t xml:space="preserve"> no later than 28 days</w:t>
      </w:r>
      <w:r>
        <w:t xml:space="preserve"> after the expiration date of the exclusive right of burial</w:t>
      </w:r>
      <w:r w:rsidR="00C262E1" w:rsidRPr="007914AA">
        <w:t xml:space="preserve">. </w:t>
      </w:r>
    </w:p>
    <w:p w14:paraId="15C5820C" w14:textId="2F3CEF40" w:rsidR="00A61BD2" w:rsidRDefault="00A61BD2" w:rsidP="00D77A54">
      <w:pPr>
        <w:spacing w:after="0" w:line="240" w:lineRule="auto"/>
        <w:ind w:left="720"/>
        <w:jc w:val="both"/>
      </w:pPr>
    </w:p>
    <w:p w14:paraId="4FB33986" w14:textId="77777777" w:rsidR="00593CAE" w:rsidRPr="007914AA" w:rsidRDefault="00593CAE" w:rsidP="00D77A54">
      <w:pPr>
        <w:spacing w:after="0" w:line="240" w:lineRule="auto"/>
        <w:ind w:left="720"/>
        <w:jc w:val="both"/>
      </w:pPr>
    </w:p>
    <w:p w14:paraId="3FA94BF5" w14:textId="55CE4C4A" w:rsidR="00C262E1" w:rsidRPr="00A513E7" w:rsidRDefault="00A61BD2" w:rsidP="001757FD">
      <w:pPr>
        <w:pStyle w:val="Heading2"/>
        <w:ind w:left="1440"/>
        <w:rPr>
          <w:sz w:val="28"/>
          <w:szCs w:val="28"/>
        </w:rPr>
      </w:pPr>
      <w:r w:rsidRPr="00A513E7">
        <w:rPr>
          <w:sz w:val="28"/>
          <w:szCs w:val="28"/>
        </w:rPr>
        <w:lastRenderedPageBreak/>
        <w:t>3.6</w:t>
      </w:r>
      <w:r w:rsidR="005969B3" w:rsidRPr="00A513E7">
        <w:rPr>
          <w:sz w:val="28"/>
          <w:szCs w:val="28"/>
        </w:rPr>
        <w:t xml:space="preserve">    Refused renewals</w:t>
      </w:r>
    </w:p>
    <w:p w14:paraId="3C2DC302" w14:textId="2F73C213" w:rsidR="00C262E1" w:rsidRPr="007914AA" w:rsidRDefault="00C262E1" w:rsidP="001757FD">
      <w:pPr>
        <w:spacing w:after="120" w:line="240" w:lineRule="auto"/>
        <w:ind w:left="720"/>
        <w:jc w:val="both"/>
      </w:pPr>
      <w:r w:rsidRPr="007914AA">
        <w:t>Under exceptional circumstances</w:t>
      </w:r>
      <w:r w:rsidR="00E2696C">
        <w:t>,</w:t>
      </w:r>
      <w:r w:rsidRPr="007914AA">
        <w:t xml:space="preserve"> a manager m</w:t>
      </w:r>
      <w:r w:rsidR="0069471B" w:rsidRPr="007914AA">
        <w:t>ay refused to renew a</w:t>
      </w:r>
      <w:r w:rsidR="00E2696C">
        <w:t>n exclusive</w:t>
      </w:r>
      <w:r w:rsidR="0069471B" w:rsidRPr="007914AA">
        <w:t xml:space="preserve"> r</w:t>
      </w:r>
      <w:r w:rsidRPr="007914AA">
        <w:t>ight</w:t>
      </w:r>
      <w:r w:rsidR="00E2696C">
        <w:t xml:space="preserve"> of burial</w:t>
      </w:r>
      <w:r w:rsidRPr="007914AA">
        <w:t xml:space="preserve">. </w:t>
      </w:r>
    </w:p>
    <w:p w14:paraId="429EE716" w14:textId="217E4C01" w:rsidR="00C262E1" w:rsidRPr="007914AA" w:rsidRDefault="00C262E1" w:rsidP="001757FD">
      <w:pPr>
        <w:spacing w:after="120" w:line="240" w:lineRule="auto"/>
        <w:ind w:left="720"/>
        <w:jc w:val="both"/>
      </w:pPr>
      <w:r w:rsidRPr="007914AA">
        <w:t>If a manager refuses to renew a</w:t>
      </w:r>
      <w:r w:rsidR="00E2696C">
        <w:t xml:space="preserve">n exclusive </w:t>
      </w:r>
      <w:r w:rsidR="00E2696C" w:rsidRPr="007914AA">
        <w:t>right</w:t>
      </w:r>
      <w:r w:rsidR="00E2696C">
        <w:t xml:space="preserve"> of burial</w:t>
      </w:r>
      <w:r w:rsidRPr="007914AA">
        <w:t>, a written notice of refusal must be issued to the grantee</w:t>
      </w:r>
      <w:r w:rsidR="00D77A54">
        <w:t>.</w:t>
      </w:r>
      <w:r w:rsidRPr="007914AA">
        <w:t xml:space="preserve"> </w:t>
      </w:r>
    </w:p>
    <w:p w14:paraId="65141C25" w14:textId="776402E9" w:rsidR="00C262E1" w:rsidRPr="007914AA" w:rsidRDefault="00C262E1" w:rsidP="001757FD">
      <w:pPr>
        <w:spacing w:after="120" w:line="240" w:lineRule="auto"/>
        <w:ind w:left="720"/>
        <w:jc w:val="both"/>
      </w:pPr>
      <w:r w:rsidRPr="007914AA">
        <w:t>I</w:t>
      </w:r>
      <w:r w:rsidR="0069471B" w:rsidRPr="007914AA">
        <w:t>f a r</w:t>
      </w:r>
      <w:r w:rsidRPr="007914AA">
        <w:t xml:space="preserve">ight has not been renewed and no human remains are buried in the burial site, the exclusive right of burial </w:t>
      </w:r>
      <w:r w:rsidR="00BA1358">
        <w:t>is</w:t>
      </w:r>
      <w:r w:rsidRPr="007914AA">
        <w:t xml:space="preserve"> forfeited to the manager</w:t>
      </w:r>
      <w:r w:rsidR="00BA1358">
        <w:t xml:space="preserve"> who</w:t>
      </w:r>
      <w:r w:rsidRPr="007914AA">
        <w:t xml:space="preserve"> may do </w:t>
      </w:r>
      <w:r w:rsidR="00907958">
        <w:t xml:space="preserve">any of </w:t>
      </w:r>
      <w:r w:rsidRPr="007914AA">
        <w:t xml:space="preserve">the following: </w:t>
      </w:r>
    </w:p>
    <w:p w14:paraId="4F889986" w14:textId="77777777" w:rsidR="00C262E1" w:rsidRPr="007914AA" w:rsidRDefault="00C262E1" w:rsidP="001757FD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</w:pPr>
      <w:r w:rsidRPr="007914AA">
        <w:t xml:space="preserve">grant a new exclusive right of burial; </w:t>
      </w:r>
    </w:p>
    <w:p w14:paraId="46767A9A" w14:textId="77777777" w:rsidR="00C262E1" w:rsidRPr="007914AA" w:rsidRDefault="00C262E1" w:rsidP="001757FD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</w:pPr>
      <w:r w:rsidRPr="007914AA">
        <w:t xml:space="preserve">give a burial approval for the burial of human remains; or </w:t>
      </w:r>
    </w:p>
    <w:p w14:paraId="0D19F5DE" w14:textId="1E7D3CFE" w:rsidR="005969B3" w:rsidRDefault="00C262E1" w:rsidP="001757FD">
      <w:pPr>
        <w:pStyle w:val="ListParagraph"/>
        <w:numPr>
          <w:ilvl w:val="0"/>
          <w:numId w:val="20"/>
        </w:numPr>
        <w:spacing w:after="120" w:line="240" w:lineRule="auto"/>
        <w:contextualSpacing w:val="0"/>
        <w:jc w:val="both"/>
      </w:pPr>
      <w:proofErr w:type="gramStart"/>
      <w:r w:rsidRPr="007914AA">
        <w:t>use</w:t>
      </w:r>
      <w:proofErr w:type="gramEnd"/>
      <w:r w:rsidRPr="007914AA">
        <w:t xml:space="preserve"> the area for a different purpose other than burying human remains. </w:t>
      </w:r>
    </w:p>
    <w:p w14:paraId="4599A075" w14:textId="77777777" w:rsidR="00B00E84" w:rsidRPr="007914AA" w:rsidRDefault="00B00E84" w:rsidP="001757FD">
      <w:pPr>
        <w:pStyle w:val="ListParagraph"/>
        <w:spacing w:after="120" w:line="240" w:lineRule="auto"/>
        <w:ind w:left="1080"/>
        <w:contextualSpacing w:val="0"/>
        <w:jc w:val="both"/>
      </w:pPr>
    </w:p>
    <w:p w14:paraId="6EEEE1D8" w14:textId="4770E76D" w:rsidR="007C2DAD" w:rsidRPr="00A513E7" w:rsidRDefault="00B00E84" w:rsidP="001757FD">
      <w:pPr>
        <w:pStyle w:val="Heading2"/>
        <w:ind w:left="1440"/>
        <w:rPr>
          <w:sz w:val="28"/>
          <w:szCs w:val="28"/>
        </w:rPr>
      </w:pPr>
      <w:r w:rsidRPr="00A513E7">
        <w:rPr>
          <w:sz w:val="28"/>
          <w:szCs w:val="28"/>
        </w:rPr>
        <w:t>3.7</w:t>
      </w:r>
      <w:r w:rsidR="005969B3" w:rsidRPr="00A513E7">
        <w:rPr>
          <w:sz w:val="28"/>
          <w:szCs w:val="28"/>
        </w:rPr>
        <w:t xml:space="preserve">     Fees and Charges </w:t>
      </w:r>
    </w:p>
    <w:p w14:paraId="27A0D16A" w14:textId="768BFB40" w:rsidR="00C262E1" w:rsidRDefault="00C262E1" w:rsidP="001757FD">
      <w:pPr>
        <w:spacing w:after="120" w:line="240" w:lineRule="auto"/>
        <w:ind w:left="720"/>
        <w:jc w:val="both"/>
      </w:pPr>
      <w:r w:rsidRPr="007914AA">
        <w:t xml:space="preserve">Fees for </w:t>
      </w:r>
      <w:r w:rsidR="00BA1358">
        <w:t>an exclusive right of burial</w:t>
      </w:r>
      <w:r w:rsidRPr="007914AA">
        <w:t xml:space="preserve"> must be aligned with council policy. Any fees related to the purchase and issue of the certific</w:t>
      </w:r>
      <w:r w:rsidR="0069471B" w:rsidRPr="007914AA">
        <w:t xml:space="preserve">ate must be paid at the time of application. </w:t>
      </w:r>
    </w:p>
    <w:p w14:paraId="5834C768" w14:textId="77777777" w:rsidR="00BA1358" w:rsidRPr="007914AA" w:rsidRDefault="00BA1358" w:rsidP="001757FD">
      <w:pPr>
        <w:spacing w:after="120" w:line="240" w:lineRule="auto"/>
        <w:ind w:left="720"/>
        <w:jc w:val="both"/>
      </w:pPr>
    </w:p>
    <w:p w14:paraId="4143FDB5" w14:textId="52D175C6" w:rsidR="005969B3" w:rsidRPr="005070D5" w:rsidRDefault="00D32F53" w:rsidP="001757FD">
      <w:pPr>
        <w:pStyle w:val="Heading2"/>
        <w:ind w:left="1440"/>
        <w:rPr>
          <w:sz w:val="28"/>
          <w:szCs w:val="28"/>
        </w:rPr>
      </w:pPr>
      <w:r w:rsidRPr="005070D5">
        <w:rPr>
          <w:sz w:val="28"/>
          <w:szCs w:val="28"/>
        </w:rPr>
        <w:t>3.8</w:t>
      </w:r>
      <w:r w:rsidR="005969B3" w:rsidRPr="005070D5">
        <w:rPr>
          <w:sz w:val="28"/>
          <w:szCs w:val="28"/>
        </w:rPr>
        <w:t xml:space="preserve">     </w:t>
      </w:r>
      <w:r w:rsidRPr="005070D5">
        <w:rPr>
          <w:sz w:val="28"/>
          <w:szCs w:val="28"/>
        </w:rPr>
        <w:t>Certificate of grant of exclusive right of burial</w:t>
      </w:r>
    </w:p>
    <w:p w14:paraId="2E958884" w14:textId="60279A12" w:rsidR="00C262E1" w:rsidRPr="007914AA" w:rsidRDefault="00B00E84" w:rsidP="001757FD">
      <w:pPr>
        <w:spacing w:after="120" w:line="240" w:lineRule="auto"/>
        <w:ind w:left="720"/>
        <w:jc w:val="both"/>
      </w:pPr>
      <w:r>
        <w:t xml:space="preserve">A grantee must be issued with a certificate upon approval of an application for the exclusive right of burial. The certificate </w:t>
      </w:r>
      <w:r w:rsidR="00C262E1" w:rsidRPr="007914AA">
        <w:t xml:space="preserve">must clearly have the following information: </w:t>
      </w:r>
    </w:p>
    <w:p w14:paraId="39A2F736" w14:textId="77777777" w:rsidR="00C262E1" w:rsidRPr="007914AA" w:rsidRDefault="00C262E1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 w:rsidRPr="007914AA">
        <w:t xml:space="preserve">name of the responsible entity and granters names; </w:t>
      </w:r>
    </w:p>
    <w:p w14:paraId="3BF2A27E" w14:textId="428FF3B7" w:rsidR="00C262E1" w:rsidRPr="007914AA" w:rsidRDefault="00B00E84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>
        <w:t>name and location of the</w:t>
      </w:r>
      <w:r w:rsidR="00C262E1" w:rsidRPr="007914AA">
        <w:t xml:space="preserve"> burial site;</w:t>
      </w:r>
    </w:p>
    <w:p w14:paraId="66508760" w14:textId="77777777" w:rsidR="00C262E1" w:rsidRPr="007914AA" w:rsidRDefault="00C262E1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 w:rsidRPr="007914AA">
        <w:t>full name of the grantee;</w:t>
      </w:r>
    </w:p>
    <w:p w14:paraId="3A665248" w14:textId="723D0976" w:rsidR="00C262E1" w:rsidRPr="007914AA" w:rsidRDefault="00B00E84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>
        <w:t>date the right was issued</w:t>
      </w:r>
      <w:r w:rsidR="00C262E1" w:rsidRPr="007914AA">
        <w:t>;</w:t>
      </w:r>
    </w:p>
    <w:p w14:paraId="026F56EC" w14:textId="20B3ACD9" w:rsidR="00C262E1" w:rsidRPr="007914AA" w:rsidRDefault="00C262E1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 w:rsidRPr="007914AA">
        <w:t xml:space="preserve">duration </w:t>
      </w:r>
      <w:r w:rsidR="00D32F53">
        <w:t>period of the exclusive right of burial</w:t>
      </w:r>
      <w:r w:rsidRPr="007914AA">
        <w:t xml:space="preserve">; </w:t>
      </w:r>
    </w:p>
    <w:p w14:paraId="04664925" w14:textId="77777777" w:rsidR="00C262E1" w:rsidRPr="007914AA" w:rsidRDefault="00C262E1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 w:rsidRPr="007914AA">
        <w:t xml:space="preserve">any conditions set out by the manager on the grant of the right; </w:t>
      </w:r>
    </w:p>
    <w:p w14:paraId="6310C6C4" w14:textId="4F19A3AB" w:rsidR="00C262E1" w:rsidRPr="007914AA" w:rsidRDefault="00C262E1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 w:rsidRPr="007914AA">
        <w:t xml:space="preserve">full names of </w:t>
      </w:r>
      <w:r w:rsidR="00907958">
        <w:t xml:space="preserve">the </w:t>
      </w:r>
      <w:r w:rsidRPr="007914AA">
        <w:t>personal representative for the grantee;</w:t>
      </w:r>
    </w:p>
    <w:p w14:paraId="15A63220" w14:textId="77777777" w:rsidR="00C262E1" w:rsidRPr="007914AA" w:rsidRDefault="00C262E1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r w:rsidRPr="007914AA">
        <w:t xml:space="preserve">names of person/s specified to be buried at the site; and </w:t>
      </w:r>
    </w:p>
    <w:p w14:paraId="23DDB385" w14:textId="6AD4A9A7" w:rsidR="00C262E1" w:rsidRPr="007914AA" w:rsidRDefault="00D32F53" w:rsidP="001757FD">
      <w:pPr>
        <w:pStyle w:val="ListParagraph"/>
        <w:numPr>
          <w:ilvl w:val="0"/>
          <w:numId w:val="25"/>
        </w:numPr>
        <w:spacing w:after="120" w:line="240" w:lineRule="auto"/>
        <w:ind w:left="1080"/>
        <w:contextualSpacing w:val="0"/>
        <w:jc w:val="both"/>
      </w:pPr>
      <w:proofErr w:type="gramStart"/>
      <w:r>
        <w:t>a</w:t>
      </w:r>
      <w:r w:rsidR="00C262E1" w:rsidRPr="007914AA">
        <w:t>dditional</w:t>
      </w:r>
      <w:proofErr w:type="gramEnd"/>
      <w:r w:rsidR="00C262E1" w:rsidRPr="007914AA">
        <w:t xml:space="preserve"> terms and conditions specified by the grantee for the exercise of the right. </w:t>
      </w:r>
    </w:p>
    <w:p w14:paraId="4A4BC1A6" w14:textId="7224A128" w:rsidR="00C262E1" w:rsidRDefault="00C262E1" w:rsidP="001757FD">
      <w:pPr>
        <w:spacing w:after="120" w:line="240" w:lineRule="auto"/>
        <w:ind w:left="720"/>
        <w:jc w:val="both"/>
      </w:pPr>
      <w:r w:rsidRPr="007914AA">
        <w:t xml:space="preserve">A certificate can be duplicated on the condition that the original certificate is lost, misappropriated or destroyed. Duplicating a certificate may have </w:t>
      </w:r>
      <w:r w:rsidR="005070D5">
        <w:t xml:space="preserve">an </w:t>
      </w:r>
      <w:r w:rsidRPr="007914AA">
        <w:t xml:space="preserve">associated cost. </w:t>
      </w:r>
    </w:p>
    <w:p w14:paraId="02477944" w14:textId="77777777" w:rsidR="00BA1358" w:rsidRPr="007914AA" w:rsidRDefault="00BA1358" w:rsidP="001757FD">
      <w:pPr>
        <w:spacing w:after="120" w:line="240" w:lineRule="auto"/>
        <w:ind w:left="720"/>
        <w:jc w:val="both"/>
      </w:pPr>
    </w:p>
    <w:p w14:paraId="3EC982AD" w14:textId="32F47710" w:rsidR="005969B3" w:rsidRPr="00A513E7" w:rsidRDefault="00D32F53" w:rsidP="001757FD">
      <w:pPr>
        <w:pStyle w:val="Heading2"/>
        <w:ind w:left="1440"/>
        <w:rPr>
          <w:sz w:val="28"/>
          <w:szCs w:val="28"/>
        </w:rPr>
      </w:pPr>
      <w:r w:rsidRPr="00A513E7">
        <w:rPr>
          <w:sz w:val="28"/>
          <w:szCs w:val="28"/>
        </w:rPr>
        <w:t>3.9</w:t>
      </w:r>
      <w:r w:rsidR="005969B3" w:rsidRPr="00A513E7">
        <w:rPr>
          <w:sz w:val="28"/>
          <w:szCs w:val="28"/>
        </w:rPr>
        <w:t xml:space="preserve">     Amending Certificate</w:t>
      </w:r>
    </w:p>
    <w:p w14:paraId="6861D900" w14:textId="37DE61A2" w:rsidR="00C262E1" w:rsidRPr="007914AA" w:rsidRDefault="00C262E1" w:rsidP="001757FD">
      <w:pPr>
        <w:spacing w:after="120" w:line="240" w:lineRule="auto"/>
        <w:ind w:left="720"/>
        <w:jc w:val="both"/>
      </w:pPr>
      <w:r w:rsidRPr="007914AA">
        <w:t>The grantee issued with the certificate is entitled to amend information under the exclusive right</w:t>
      </w:r>
      <w:r w:rsidR="00D77A54">
        <w:t xml:space="preserve"> of burial</w:t>
      </w:r>
      <w:r w:rsidRPr="007914AA">
        <w:t>. If the</w:t>
      </w:r>
      <w:r w:rsidR="00C67FB9" w:rsidRPr="007914AA">
        <w:t xml:space="preserve"> grantee amends </w:t>
      </w:r>
      <w:r w:rsidRPr="007914AA">
        <w:t>information</w:t>
      </w:r>
      <w:r w:rsidR="00D32F53">
        <w:t>,</w:t>
      </w:r>
      <w:r w:rsidRPr="007914AA">
        <w:t xml:space="preserve"> the manager of the cemetery must: </w:t>
      </w:r>
    </w:p>
    <w:p w14:paraId="0CCEC805" w14:textId="2EBD2B9C" w:rsidR="00C262E1" w:rsidRPr="007914AA" w:rsidRDefault="00C262E1" w:rsidP="001757FD">
      <w:pPr>
        <w:pStyle w:val="ListParagraph"/>
        <w:numPr>
          <w:ilvl w:val="0"/>
          <w:numId w:val="26"/>
        </w:numPr>
        <w:spacing w:after="120" w:line="240" w:lineRule="auto"/>
        <w:ind w:left="1080"/>
        <w:contextualSpacing w:val="0"/>
        <w:jc w:val="both"/>
      </w:pPr>
      <w:r w:rsidRPr="007914AA">
        <w:t xml:space="preserve">update the certificate of the grant with the </w:t>
      </w:r>
      <w:r w:rsidR="00D77A54">
        <w:t>amended</w:t>
      </w:r>
      <w:r w:rsidRPr="007914AA">
        <w:t xml:space="preserve"> information; and </w:t>
      </w:r>
    </w:p>
    <w:p w14:paraId="79BC92D8" w14:textId="5431BAD3" w:rsidR="00C262E1" w:rsidRDefault="00C262E1" w:rsidP="001757FD">
      <w:pPr>
        <w:pStyle w:val="ListParagraph"/>
        <w:numPr>
          <w:ilvl w:val="0"/>
          <w:numId w:val="26"/>
        </w:numPr>
        <w:spacing w:after="120" w:line="240" w:lineRule="auto"/>
        <w:ind w:left="1080"/>
        <w:contextualSpacing w:val="0"/>
        <w:jc w:val="both"/>
      </w:pPr>
      <w:proofErr w:type="gramStart"/>
      <w:r w:rsidRPr="007914AA">
        <w:t>re</w:t>
      </w:r>
      <w:r w:rsidR="00D32F53">
        <w:t>-</w:t>
      </w:r>
      <w:r w:rsidRPr="007914AA">
        <w:t>issue</w:t>
      </w:r>
      <w:proofErr w:type="gramEnd"/>
      <w:r w:rsidRPr="007914AA">
        <w:t xml:space="preserve"> the certificate of the grant to the grantee with the original duration of the right or the new duration of the right if the </w:t>
      </w:r>
      <w:r w:rsidR="00D77A54">
        <w:t xml:space="preserve">exclusive </w:t>
      </w:r>
      <w:r w:rsidRPr="007914AA">
        <w:t>right</w:t>
      </w:r>
      <w:r w:rsidR="00D77A54">
        <w:t xml:space="preserve"> of burial</w:t>
      </w:r>
      <w:r w:rsidRPr="007914AA">
        <w:t xml:space="preserve"> is renewed.</w:t>
      </w:r>
    </w:p>
    <w:p w14:paraId="008151FB" w14:textId="77777777" w:rsidR="00BA1358" w:rsidRPr="007914AA" w:rsidRDefault="00BA1358" w:rsidP="001757FD">
      <w:pPr>
        <w:pStyle w:val="ListParagraph"/>
        <w:spacing w:after="120" w:line="240" w:lineRule="auto"/>
        <w:ind w:left="1080"/>
        <w:contextualSpacing w:val="0"/>
        <w:jc w:val="both"/>
      </w:pPr>
    </w:p>
    <w:p w14:paraId="7895AC45" w14:textId="6839D507" w:rsidR="005969B3" w:rsidRPr="00A513E7" w:rsidRDefault="00D32F53" w:rsidP="001757FD">
      <w:pPr>
        <w:pStyle w:val="Heading2"/>
        <w:ind w:left="1440"/>
        <w:rPr>
          <w:sz w:val="28"/>
          <w:szCs w:val="28"/>
        </w:rPr>
      </w:pPr>
      <w:r w:rsidRPr="00A513E7">
        <w:rPr>
          <w:sz w:val="28"/>
          <w:szCs w:val="28"/>
        </w:rPr>
        <w:t>3.10</w:t>
      </w:r>
      <w:r w:rsidR="005F1CF6" w:rsidRPr="00A513E7">
        <w:rPr>
          <w:sz w:val="28"/>
          <w:szCs w:val="28"/>
        </w:rPr>
        <w:t xml:space="preserve">    </w:t>
      </w:r>
      <w:r w:rsidR="005969B3" w:rsidRPr="00A513E7">
        <w:rPr>
          <w:sz w:val="28"/>
          <w:szCs w:val="28"/>
        </w:rPr>
        <w:t xml:space="preserve">Complaints </w:t>
      </w:r>
    </w:p>
    <w:p w14:paraId="4AC3B500" w14:textId="7D716CD2" w:rsidR="005969B3" w:rsidRPr="007914AA" w:rsidRDefault="005969B3" w:rsidP="00593CAE">
      <w:pPr>
        <w:ind w:left="720"/>
        <w:jc w:val="both"/>
      </w:pPr>
      <w:r w:rsidRPr="007914AA">
        <w:t xml:space="preserve">All complaints received concerning the operations and administration of this policy are to be managed in accordance with </w:t>
      </w:r>
      <w:r w:rsidR="00FB2BD2">
        <w:t xml:space="preserve">the </w:t>
      </w:r>
      <w:r w:rsidRPr="007914AA">
        <w:t>council</w:t>
      </w:r>
      <w:r w:rsidR="00FB2BD2">
        <w:t>’s</w:t>
      </w:r>
      <w:r w:rsidRPr="007914AA">
        <w:t xml:space="preserve"> complaints policies </w:t>
      </w:r>
      <w:r w:rsidR="0072236A">
        <w:t>and/</w:t>
      </w:r>
      <w:r w:rsidRPr="007914AA">
        <w:t>or procedural documents.</w:t>
      </w:r>
    </w:p>
    <w:sectPr w:rsidR="005969B3" w:rsidRPr="007914AA" w:rsidSect="002E2C1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4209D" w14:textId="77777777" w:rsidR="009C0538" w:rsidRDefault="009C0538" w:rsidP="00AF2D25">
      <w:r>
        <w:separator/>
      </w:r>
    </w:p>
  </w:endnote>
  <w:endnote w:type="continuationSeparator" w:id="0">
    <w:p w14:paraId="709EB1AD" w14:textId="77777777" w:rsidR="009C0538" w:rsidRDefault="009C0538" w:rsidP="00AF2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7158837"/>
      <w:docPartObj>
        <w:docPartGallery w:val="Page Numbers (Bottom of Page)"/>
        <w:docPartUnique/>
      </w:docPartObj>
    </w:sdtPr>
    <w:sdtEndPr/>
    <w:sdtContent>
      <w:sdt>
        <w:sdtPr>
          <w:id w:val="-977449534"/>
          <w:docPartObj>
            <w:docPartGallery w:val="Page Numbers (Top of Page)"/>
            <w:docPartUnique/>
          </w:docPartObj>
        </w:sdtPr>
        <w:sdtEndPr/>
        <w:sdtContent>
          <w:p w14:paraId="0D7DD3F3" w14:textId="3339F65C" w:rsidR="00A366D5" w:rsidRDefault="00A366D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F24A70">
              <w:rPr>
                <w:rFonts w:ascii="Arial" w:hAnsi="Arial" w:cs="Arial"/>
                <w:b/>
                <w:bCs/>
                <w:noProof/>
              </w:rPr>
              <w:t>4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F24A70">
              <w:rPr>
                <w:rFonts w:ascii="Arial" w:hAnsi="Arial" w:cs="Arial"/>
                <w:b/>
                <w:bCs/>
                <w:noProof/>
              </w:rPr>
              <w:t>4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F38BC70" w14:textId="77777777" w:rsidR="002E2C1F" w:rsidRPr="000F2A4A" w:rsidRDefault="002E2C1F" w:rsidP="00AF2D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394084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5B9354F" w14:textId="337C00E2" w:rsidR="00AF2D25" w:rsidRDefault="00AF2D25">
            <w:pPr>
              <w:pStyle w:val="Footer"/>
              <w:jc w:val="center"/>
            </w:pPr>
            <w:r w:rsidRPr="00A366D5">
              <w:rPr>
                <w:rFonts w:ascii="Arial" w:hAnsi="Arial" w:cs="Arial"/>
              </w:rPr>
              <w:t xml:space="preserve">Page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F24A70">
              <w:rPr>
                <w:rFonts w:ascii="Arial" w:hAnsi="Arial" w:cs="Arial"/>
                <w:b/>
                <w:bCs/>
                <w:noProof/>
              </w:rPr>
              <w:t>1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  <w:r w:rsidRPr="00A366D5">
              <w:rPr>
                <w:rFonts w:ascii="Arial" w:hAnsi="Arial" w:cs="Arial"/>
              </w:rPr>
              <w:t xml:space="preserve"> of </w:t>
            </w:r>
            <w:r w:rsidRPr="00A366D5">
              <w:rPr>
                <w:rFonts w:ascii="Arial" w:hAnsi="Arial" w:cs="Arial"/>
                <w:b/>
                <w:bCs/>
              </w:rPr>
              <w:fldChar w:fldCharType="begin"/>
            </w:r>
            <w:r w:rsidRPr="00A366D5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A366D5">
              <w:rPr>
                <w:rFonts w:ascii="Arial" w:hAnsi="Arial" w:cs="Arial"/>
                <w:b/>
                <w:bCs/>
              </w:rPr>
              <w:fldChar w:fldCharType="separate"/>
            </w:r>
            <w:r w:rsidR="00F24A70">
              <w:rPr>
                <w:rFonts w:ascii="Arial" w:hAnsi="Arial" w:cs="Arial"/>
                <w:b/>
                <w:bCs/>
                <w:noProof/>
              </w:rPr>
              <w:t>4</w:t>
            </w:r>
            <w:r w:rsidRPr="00A366D5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1D3ED511" w14:textId="77777777" w:rsidR="002E2C1F" w:rsidRDefault="002E2C1F" w:rsidP="00AF2D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C7BD0" w14:textId="77777777" w:rsidR="009C0538" w:rsidRDefault="009C0538" w:rsidP="00AF2D25">
      <w:r>
        <w:separator/>
      </w:r>
    </w:p>
  </w:footnote>
  <w:footnote w:type="continuationSeparator" w:id="0">
    <w:p w14:paraId="38A7BE1C" w14:textId="77777777" w:rsidR="009C0538" w:rsidRDefault="009C0538" w:rsidP="00AF2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3B55EE" w14:textId="77777777" w:rsidR="00AF2D25" w:rsidRDefault="009C0538">
    <w:pPr>
      <w:pStyle w:val="Header"/>
    </w:pPr>
    <w:r>
      <w:rPr>
        <w:noProof/>
      </w:rPr>
      <w:pict w14:anchorId="3C92B63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188" o:spid="_x0000_s2050" type="#_x0000_t136" style="position:absolute;margin-left:0;margin-top:0;width:581.85pt;height:145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ooper Black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649CD" w14:textId="77777777" w:rsidR="002E2C1F" w:rsidRDefault="00EC7E5E" w:rsidP="00EC7E5E">
    <w:pPr>
      <w:pStyle w:val="Header"/>
      <w:jc w:val="center"/>
      <w:rPr>
        <w:i/>
      </w:rPr>
    </w:pPr>
    <w:r w:rsidRPr="00EC7E5E">
      <w:rPr>
        <w:i/>
      </w:rPr>
      <w:t>–</w:t>
    </w:r>
    <w:r w:rsidR="009C0538">
      <w:rPr>
        <w:i/>
        <w:noProof/>
      </w:rPr>
      <w:pict w14:anchorId="6366562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189" o:spid="_x0000_s2051" type="#_x0000_t136" style="position:absolute;left:0;text-align:left;margin-left:0;margin-top:0;width:581.85pt;height:145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ooper Black&quot;;font-size:1pt" string="SAMPLE"/>
          <w10:wrap anchorx="margin" anchory="margin"/>
        </v:shape>
      </w:pict>
    </w:r>
    <w:r w:rsidRPr="00EC7E5E">
      <w:rPr>
        <w:i/>
      </w:rPr>
      <w:t xml:space="preserve"> Sample policy only –</w:t>
    </w:r>
  </w:p>
  <w:p w14:paraId="6DAA08EC" w14:textId="77777777" w:rsidR="00EC7E5E" w:rsidRPr="00EC7E5E" w:rsidRDefault="00EC7E5E" w:rsidP="00EC7E5E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09B8C" w14:textId="18F3C74D" w:rsidR="002E2C1F" w:rsidRPr="00AF2D25" w:rsidRDefault="009C0538" w:rsidP="00AF2D25">
    <w:pPr>
      <w:pStyle w:val="Title"/>
    </w:pPr>
    <w:r>
      <w:rPr>
        <w:noProof/>
      </w:rPr>
      <w:pict w14:anchorId="680399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21187" o:spid="_x0000_s2049" type="#_x0000_t136" style="position:absolute;margin-left:0;margin-top:0;width:581.85pt;height:145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ooper Black&quot;;font-size:1pt" string="SAMPLE"/>
          <w10:wrap anchorx="margin" anchory="margin"/>
        </v:shape>
      </w:pict>
    </w:r>
    <w:r w:rsidR="00ED4C3B">
      <w:t>Exclusive Right</w:t>
    </w:r>
    <w:r w:rsidR="00DE0126">
      <w:t>s of Burial P</w:t>
    </w:r>
    <w:r w:rsidR="00ED4C3B">
      <w:t>olicy</w:t>
    </w:r>
    <w:r w:rsidR="00537A6A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1B4"/>
    <w:multiLevelType w:val="hybridMultilevel"/>
    <w:tmpl w:val="9D1CAB50"/>
    <w:lvl w:ilvl="0" w:tplc="9836D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05D68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845F17"/>
    <w:multiLevelType w:val="hybridMultilevel"/>
    <w:tmpl w:val="A23ECFE0"/>
    <w:lvl w:ilvl="0" w:tplc="B41AD95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48295C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5633CCC"/>
    <w:multiLevelType w:val="hybridMultilevel"/>
    <w:tmpl w:val="20025192"/>
    <w:lvl w:ilvl="0" w:tplc="0224A0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367" w:hanging="360"/>
      </w:pPr>
    </w:lvl>
    <w:lvl w:ilvl="2" w:tplc="0C09001B" w:tentative="1">
      <w:start w:val="1"/>
      <w:numFmt w:val="lowerRoman"/>
      <w:lvlText w:val="%3."/>
      <w:lvlJc w:val="right"/>
      <w:pPr>
        <w:ind w:left="3087" w:hanging="180"/>
      </w:pPr>
    </w:lvl>
    <w:lvl w:ilvl="3" w:tplc="0C09000F" w:tentative="1">
      <w:start w:val="1"/>
      <w:numFmt w:val="decimal"/>
      <w:lvlText w:val="%4."/>
      <w:lvlJc w:val="left"/>
      <w:pPr>
        <w:ind w:left="3807" w:hanging="360"/>
      </w:pPr>
    </w:lvl>
    <w:lvl w:ilvl="4" w:tplc="0C090019" w:tentative="1">
      <w:start w:val="1"/>
      <w:numFmt w:val="lowerLetter"/>
      <w:lvlText w:val="%5."/>
      <w:lvlJc w:val="left"/>
      <w:pPr>
        <w:ind w:left="4527" w:hanging="360"/>
      </w:pPr>
    </w:lvl>
    <w:lvl w:ilvl="5" w:tplc="0C09001B" w:tentative="1">
      <w:start w:val="1"/>
      <w:numFmt w:val="lowerRoman"/>
      <w:lvlText w:val="%6."/>
      <w:lvlJc w:val="right"/>
      <w:pPr>
        <w:ind w:left="5247" w:hanging="180"/>
      </w:pPr>
    </w:lvl>
    <w:lvl w:ilvl="6" w:tplc="0C09000F" w:tentative="1">
      <w:start w:val="1"/>
      <w:numFmt w:val="decimal"/>
      <w:lvlText w:val="%7."/>
      <w:lvlJc w:val="left"/>
      <w:pPr>
        <w:ind w:left="5967" w:hanging="360"/>
      </w:pPr>
    </w:lvl>
    <w:lvl w:ilvl="7" w:tplc="0C090019" w:tentative="1">
      <w:start w:val="1"/>
      <w:numFmt w:val="lowerLetter"/>
      <w:lvlText w:val="%8."/>
      <w:lvlJc w:val="left"/>
      <w:pPr>
        <w:ind w:left="6687" w:hanging="360"/>
      </w:pPr>
    </w:lvl>
    <w:lvl w:ilvl="8" w:tplc="0C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6685BB4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B997D2A"/>
    <w:multiLevelType w:val="hybridMultilevel"/>
    <w:tmpl w:val="19705CAC"/>
    <w:lvl w:ilvl="0" w:tplc="94CAAF4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7438D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B058AE"/>
    <w:multiLevelType w:val="hybridMultilevel"/>
    <w:tmpl w:val="AB709CB6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7367BA3"/>
    <w:multiLevelType w:val="hybridMultilevel"/>
    <w:tmpl w:val="D250FC48"/>
    <w:lvl w:ilvl="0" w:tplc="E9E8E8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F84789"/>
    <w:multiLevelType w:val="multilevel"/>
    <w:tmpl w:val="2B5A72DA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916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-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4" w:hanging="1800"/>
      </w:pPr>
      <w:rPr>
        <w:rFonts w:hint="default"/>
      </w:rPr>
    </w:lvl>
  </w:abstractNum>
  <w:abstractNum w:abstractNumId="11" w15:restartNumberingAfterBreak="0">
    <w:nsid w:val="2A372C9F"/>
    <w:multiLevelType w:val="hybridMultilevel"/>
    <w:tmpl w:val="24D66932"/>
    <w:lvl w:ilvl="0" w:tplc="933E4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923" w:hanging="360"/>
      </w:pPr>
    </w:lvl>
    <w:lvl w:ilvl="2" w:tplc="0C09001B" w:tentative="1">
      <w:start w:val="1"/>
      <w:numFmt w:val="lowerRoman"/>
      <w:lvlText w:val="%3."/>
      <w:lvlJc w:val="right"/>
      <w:pPr>
        <w:ind w:left="3643" w:hanging="180"/>
      </w:pPr>
    </w:lvl>
    <w:lvl w:ilvl="3" w:tplc="0C09000F" w:tentative="1">
      <w:start w:val="1"/>
      <w:numFmt w:val="decimal"/>
      <w:lvlText w:val="%4."/>
      <w:lvlJc w:val="left"/>
      <w:pPr>
        <w:ind w:left="4363" w:hanging="360"/>
      </w:pPr>
    </w:lvl>
    <w:lvl w:ilvl="4" w:tplc="0C090019" w:tentative="1">
      <w:start w:val="1"/>
      <w:numFmt w:val="lowerLetter"/>
      <w:lvlText w:val="%5."/>
      <w:lvlJc w:val="left"/>
      <w:pPr>
        <w:ind w:left="5083" w:hanging="360"/>
      </w:pPr>
    </w:lvl>
    <w:lvl w:ilvl="5" w:tplc="0C09001B" w:tentative="1">
      <w:start w:val="1"/>
      <w:numFmt w:val="lowerRoman"/>
      <w:lvlText w:val="%6."/>
      <w:lvlJc w:val="right"/>
      <w:pPr>
        <w:ind w:left="5803" w:hanging="180"/>
      </w:pPr>
    </w:lvl>
    <w:lvl w:ilvl="6" w:tplc="0C09000F" w:tentative="1">
      <w:start w:val="1"/>
      <w:numFmt w:val="decimal"/>
      <w:lvlText w:val="%7."/>
      <w:lvlJc w:val="left"/>
      <w:pPr>
        <w:ind w:left="6523" w:hanging="360"/>
      </w:pPr>
    </w:lvl>
    <w:lvl w:ilvl="7" w:tplc="0C090019" w:tentative="1">
      <w:start w:val="1"/>
      <w:numFmt w:val="lowerLetter"/>
      <w:lvlText w:val="%8."/>
      <w:lvlJc w:val="left"/>
      <w:pPr>
        <w:ind w:left="7243" w:hanging="360"/>
      </w:pPr>
    </w:lvl>
    <w:lvl w:ilvl="8" w:tplc="0C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 w15:restartNumberingAfterBreak="0">
    <w:nsid w:val="322E54D8"/>
    <w:multiLevelType w:val="hybridMultilevel"/>
    <w:tmpl w:val="6388EF26"/>
    <w:lvl w:ilvl="0" w:tplc="933E4DF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0C09001B" w:tentative="1">
      <w:start w:val="1"/>
      <w:numFmt w:val="lowerRoman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330F139F"/>
    <w:multiLevelType w:val="hybridMultilevel"/>
    <w:tmpl w:val="D6E2205C"/>
    <w:lvl w:ilvl="0" w:tplc="933E4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095D24"/>
    <w:multiLevelType w:val="hybridMultilevel"/>
    <w:tmpl w:val="81366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2390A"/>
    <w:multiLevelType w:val="hybridMultilevel"/>
    <w:tmpl w:val="EB4C559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F70EF"/>
    <w:multiLevelType w:val="hybridMultilevel"/>
    <w:tmpl w:val="3830F7B2"/>
    <w:lvl w:ilvl="0" w:tplc="8AE277B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134E1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8482F4B"/>
    <w:multiLevelType w:val="hybridMultilevel"/>
    <w:tmpl w:val="08CE1F52"/>
    <w:lvl w:ilvl="0" w:tplc="933E4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0D15C6"/>
    <w:multiLevelType w:val="hybridMultilevel"/>
    <w:tmpl w:val="E990D37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A5D0CC0"/>
    <w:multiLevelType w:val="hybridMultilevel"/>
    <w:tmpl w:val="8CE223C8"/>
    <w:lvl w:ilvl="0" w:tplc="0224A0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E7C2B2C"/>
    <w:multiLevelType w:val="hybridMultilevel"/>
    <w:tmpl w:val="BFA23F28"/>
    <w:lvl w:ilvl="0" w:tplc="933E4D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50F62CCE"/>
    <w:multiLevelType w:val="hybridMultilevel"/>
    <w:tmpl w:val="C2FE017E"/>
    <w:lvl w:ilvl="0" w:tplc="B41AD952">
      <w:start w:val="1"/>
      <w:numFmt w:val="lowerLetter"/>
      <w:lvlText w:val="(%1)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99339D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296A3B"/>
    <w:multiLevelType w:val="hybridMultilevel"/>
    <w:tmpl w:val="C7F4648A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5" w15:restartNumberingAfterBreak="0">
    <w:nsid w:val="60DB6CAB"/>
    <w:multiLevelType w:val="hybridMultilevel"/>
    <w:tmpl w:val="6FF81918"/>
    <w:lvl w:ilvl="0" w:tplc="933E4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C13D96"/>
    <w:multiLevelType w:val="hybridMultilevel"/>
    <w:tmpl w:val="67AED480"/>
    <w:lvl w:ilvl="0" w:tplc="94CAAF4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2D436A"/>
    <w:multiLevelType w:val="hybridMultilevel"/>
    <w:tmpl w:val="1BE0C0A8"/>
    <w:lvl w:ilvl="0" w:tplc="0C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699B1FBD"/>
    <w:multiLevelType w:val="hybridMultilevel"/>
    <w:tmpl w:val="AB009548"/>
    <w:lvl w:ilvl="0" w:tplc="0C090001">
      <w:start w:val="1"/>
      <w:numFmt w:val="bullet"/>
      <w:lvlText w:val=""/>
      <w:lvlJc w:val="left"/>
      <w:pPr>
        <w:ind w:left="6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29" w15:restartNumberingAfterBreak="0">
    <w:nsid w:val="6B421AAD"/>
    <w:multiLevelType w:val="multilevel"/>
    <w:tmpl w:val="70C6C8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E3128BB"/>
    <w:multiLevelType w:val="multilevel"/>
    <w:tmpl w:val="B2422D4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60" w:hanging="54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F765155"/>
    <w:multiLevelType w:val="hybridMultilevel"/>
    <w:tmpl w:val="CE1A4B84"/>
    <w:lvl w:ilvl="0" w:tplc="0224A0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738E4DE0"/>
    <w:multiLevelType w:val="hybridMultilevel"/>
    <w:tmpl w:val="19C05416"/>
    <w:lvl w:ilvl="0" w:tplc="933E4DF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3FE35D6"/>
    <w:multiLevelType w:val="hybridMultilevel"/>
    <w:tmpl w:val="D60AF1D0"/>
    <w:lvl w:ilvl="0" w:tplc="72963EE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66855"/>
    <w:multiLevelType w:val="hybridMultilevel"/>
    <w:tmpl w:val="A1805A16"/>
    <w:lvl w:ilvl="0" w:tplc="E9E8E84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9D65DC"/>
    <w:multiLevelType w:val="hybridMultilevel"/>
    <w:tmpl w:val="7A1E39A4"/>
    <w:lvl w:ilvl="0" w:tplc="9C38BCA6">
      <w:start w:val="1"/>
      <w:numFmt w:val="lowerLetter"/>
      <w:lvlText w:val="(%1)"/>
      <w:lvlJc w:val="left"/>
      <w:pPr>
        <w:ind w:left="227" w:hanging="227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E7716B"/>
    <w:multiLevelType w:val="hybridMultilevel"/>
    <w:tmpl w:val="F1F27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393D2E"/>
    <w:multiLevelType w:val="hybridMultilevel"/>
    <w:tmpl w:val="84ECDC78"/>
    <w:lvl w:ilvl="0" w:tplc="0224A0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224A05C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33"/>
  </w:num>
  <w:num w:numId="3">
    <w:abstractNumId w:val="0"/>
  </w:num>
  <w:num w:numId="4">
    <w:abstractNumId w:val="32"/>
  </w:num>
  <w:num w:numId="5">
    <w:abstractNumId w:val="30"/>
  </w:num>
  <w:num w:numId="6">
    <w:abstractNumId w:val="13"/>
  </w:num>
  <w:num w:numId="7">
    <w:abstractNumId w:val="25"/>
  </w:num>
  <w:num w:numId="8">
    <w:abstractNumId w:val="18"/>
  </w:num>
  <w:num w:numId="9">
    <w:abstractNumId w:val="36"/>
  </w:num>
  <w:num w:numId="10">
    <w:abstractNumId w:val="12"/>
  </w:num>
  <w:num w:numId="11">
    <w:abstractNumId w:val="14"/>
  </w:num>
  <w:num w:numId="12">
    <w:abstractNumId w:val="21"/>
  </w:num>
  <w:num w:numId="13">
    <w:abstractNumId w:val="8"/>
  </w:num>
  <w:num w:numId="14">
    <w:abstractNumId w:val="4"/>
  </w:num>
  <w:num w:numId="15">
    <w:abstractNumId w:val="17"/>
  </w:num>
  <w:num w:numId="16">
    <w:abstractNumId w:val="3"/>
  </w:num>
  <w:num w:numId="17">
    <w:abstractNumId w:val="10"/>
  </w:num>
  <w:num w:numId="18">
    <w:abstractNumId w:val="24"/>
  </w:num>
  <w:num w:numId="19">
    <w:abstractNumId w:val="29"/>
  </w:num>
  <w:num w:numId="20">
    <w:abstractNumId w:val="20"/>
  </w:num>
  <w:num w:numId="21">
    <w:abstractNumId w:val="5"/>
  </w:num>
  <w:num w:numId="22">
    <w:abstractNumId w:val="7"/>
  </w:num>
  <w:num w:numId="23">
    <w:abstractNumId w:val="23"/>
  </w:num>
  <w:num w:numId="24">
    <w:abstractNumId w:val="1"/>
  </w:num>
  <w:num w:numId="25">
    <w:abstractNumId w:val="11"/>
  </w:num>
  <w:num w:numId="26">
    <w:abstractNumId w:val="37"/>
  </w:num>
  <w:num w:numId="27">
    <w:abstractNumId w:val="27"/>
  </w:num>
  <w:num w:numId="28">
    <w:abstractNumId w:val="28"/>
  </w:num>
  <w:num w:numId="29">
    <w:abstractNumId w:val="31"/>
  </w:num>
  <w:num w:numId="30">
    <w:abstractNumId w:val="19"/>
  </w:num>
  <w:num w:numId="31">
    <w:abstractNumId w:val="16"/>
  </w:num>
  <w:num w:numId="32">
    <w:abstractNumId w:val="6"/>
  </w:num>
  <w:num w:numId="33">
    <w:abstractNumId w:val="26"/>
  </w:num>
  <w:num w:numId="34">
    <w:abstractNumId w:val="35"/>
  </w:num>
  <w:num w:numId="35">
    <w:abstractNumId w:val="9"/>
  </w:num>
  <w:num w:numId="36">
    <w:abstractNumId w:val="34"/>
  </w:num>
  <w:num w:numId="37">
    <w:abstractNumId w:val="15"/>
  </w:num>
  <w:num w:numId="3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BDA"/>
    <w:rsid w:val="00000F70"/>
    <w:rsid w:val="000013C5"/>
    <w:rsid w:val="00002798"/>
    <w:rsid w:val="00010ABE"/>
    <w:rsid w:val="00015BFE"/>
    <w:rsid w:val="00015F0E"/>
    <w:rsid w:val="00017190"/>
    <w:rsid w:val="00020E3E"/>
    <w:rsid w:val="00021CD2"/>
    <w:rsid w:val="000309C8"/>
    <w:rsid w:val="000335FF"/>
    <w:rsid w:val="00035DE1"/>
    <w:rsid w:val="00052513"/>
    <w:rsid w:val="00053047"/>
    <w:rsid w:val="00057941"/>
    <w:rsid w:val="00061401"/>
    <w:rsid w:val="00062AC5"/>
    <w:rsid w:val="000635CE"/>
    <w:rsid w:val="00067475"/>
    <w:rsid w:val="00072A98"/>
    <w:rsid w:val="0007325E"/>
    <w:rsid w:val="000760A4"/>
    <w:rsid w:val="00081E5F"/>
    <w:rsid w:val="000871C2"/>
    <w:rsid w:val="00091BA4"/>
    <w:rsid w:val="000A7BA7"/>
    <w:rsid w:val="000B7C02"/>
    <w:rsid w:val="000C01D8"/>
    <w:rsid w:val="000C0ABD"/>
    <w:rsid w:val="000C1B96"/>
    <w:rsid w:val="000D152D"/>
    <w:rsid w:val="000D1664"/>
    <w:rsid w:val="000F2A4A"/>
    <w:rsid w:val="000F6A56"/>
    <w:rsid w:val="0010556C"/>
    <w:rsid w:val="001330C5"/>
    <w:rsid w:val="00135B80"/>
    <w:rsid w:val="001363E4"/>
    <w:rsid w:val="00151C23"/>
    <w:rsid w:val="001548F9"/>
    <w:rsid w:val="001624CB"/>
    <w:rsid w:val="001675CA"/>
    <w:rsid w:val="001756F7"/>
    <w:rsid w:val="001757FD"/>
    <w:rsid w:val="00176A2B"/>
    <w:rsid w:val="0018091B"/>
    <w:rsid w:val="0018489D"/>
    <w:rsid w:val="00194E07"/>
    <w:rsid w:val="001955F8"/>
    <w:rsid w:val="001A52F6"/>
    <w:rsid w:val="001B2FC1"/>
    <w:rsid w:val="001B7D33"/>
    <w:rsid w:val="001C4C04"/>
    <w:rsid w:val="001C6479"/>
    <w:rsid w:val="001C7E07"/>
    <w:rsid w:val="001D7E2D"/>
    <w:rsid w:val="001E2D09"/>
    <w:rsid w:val="001F280E"/>
    <w:rsid w:val="001F4FEE"/>
    <w:rsid w:val="002023B3"/>
    <w:rsid w:val="00213599"/>
    <w:rsid w:val="00221B09"/>
    <w:rsid w:val="002310E4"/>
    <w:rsid w:val="00232FF9"/>
    <w:rsid w:val="00244437"/>
    <w:rsid w:val="002723E5"/>
    <w:rsid w:val="002800D8"/>
    <w:rsid w:val="00295DB1"/>
    <w:rsid w:val="0029618B"/>
    <w:rsid w:val="002968BE"/>
    <w:rsid w:val="00297764"/>
    <w:rsid w:val="002A04BC"/>
    <w:rsid w:val="002A17CE"/>
    <w:rsid w:val="002A3118"/>
    <w:rsid w:val="002A7412"/>
    <w:rsid w:val="002B04DD"/>
    <w:rsid w:val="002C78B5"/>
    <w:rsid w:val="002D36C6"/>
    <w:rsid w:val="002E2C1F"/>
    <w:rsid w:val="002E3BC7"/>
    <w:rsid w:val="002E3D9F"/>
    <w:rsid w:val="002F2B61"/>
    <w:rsid w:val="002F3BDA"/>
    <w:rsid w:val="00300CBB"/>
    <w:rsid w:val="00312191"/>
    <w:rsid w:val="0031248B"/>
    <w:rsid w:val="00313E1F"/>
    <w:rsid w:val="00315135"/>
    <w:rsid w:val="00320D9F"/>
    <w:rsid w:val="00321FD8"/>
    <w:rsid w:val="00331C41"/>
    <w:rsid w:val="00333C8E"/>
    <w:rsid w:val="003401C4"/>
    <w:rsid w:val="00340512"/>
    <w:rsid w:val="00341844"/>
    <w:rsid w:val="0034549A"/>
    <w:rsid w:val="003471EC"/>
    <w:rsid w:val="003478E2"/>
    <w:rsid w:val="00351513"/>
    <w:rsid w:val="003540F3"/>
    <w:rsid w:val="00355217"/>
    <w:rsid w:val="00367E0E"/>
    <w:rsid w:val="00376B5E"/>
    <w:rsid w:val="0038257D"/>
    <w:rsid w:val="00382C30"/>
    <w:rsid w:val="00382F35"/>
    <w:rsid w:val="003830FD"/>
    <w:rsid w:val="003853E5"/>
    <w:rsid w:val="003906FA"/>
    <w:rsid w:val="0039096C"/>
    <w:rsid w:val="00392DBD"/>
    <w:rsid w:val="003A2309"/>
    <w:rsid w:val="003A3911"/>
    <w:rsid w:val="003B0C99"/>
    <w:rsid w:val="003B2375"/>
    <w:rsid w:val="003B3E85"/>
    <w:rsid w:val="003B7944"/>
    <w:rsid w:val="003C015F"/>
    <w:rsid w:val="003C3EED"/>
    <w:rsid w:val="003C58EB"/>
    <w:rsid w:val="003C7B98"/>
    <w:rsid w:val="003D233E"/>
    <w:rsid w:val="003F2A9A"/>
    <w:rsid w:val="003F2F57"/>
    <w:rsid w:val="003F34A0"/>
    <w:rsid w:val="00400E71"/>
    <w:rsid w:val="004021A1"/>
    <w:rsid w:val="00404D3C"/>
    <w:rsid w:val="004058BB"/>
    <w:rsid w:val="0041091B"/>
    <w:rsid w:val="004129BD"/>
    <w:rsid w:val="0042332E"/>
    <w:rsid w:val="00425A08"/>
    <w:rsid w:val="00440A37"/>
    <w:rsid w:val="00441D5F"/>
    <w:rsid w:val="00444638"/>
    <w:rsid w:val="00452A9A"/>
    <w:rsid w:val="004567CD"/>
    <w:rsid w:val="00457A59"/>
    <w:rsid w:val="00462C67"/>
    <w:rsid w:val="004A151F"/>
    <w:rsid w:val="004A6880"/>
    <w:rsid w:val="004C6F9B"/>
    <w:rsid w:val="004D2DAD"/>
    <w:rsid w:val="004D49B8"/>
    <w:rsid w:val="004F1ED8"/>
    <w:rsid w:val="00501D56"/>
    <w:rsid w:val="005070D5"/>
    <w:rsid w:val="005222FF"/>
    <w:rsid w:val="00523AAA"/>
    <w:rsid w:val="0052501C"/>
    <w:rsid w:val="00525A38"/>
    <w:rsid w:val="00526031"/>
    <w:rsid w:val="00530867"/>
    <w:rsid w:val="0053499E"/>
    <w:rsid w:val="00537A6A"/>
    <w:rsid w:val="00541FFD"/>
    <w:rsid w:val="00554370"/>
    <w:rsid w:val="005676DE"/>
    <w:rsid w:val="0057603C"/>
    <w:rsid w:val="00593CAE"/>
    <w:rsid w:val="005954AB"/>
    <w:rsid w:val="00596623"/>
    <w:rsid w:val="005969B3"/>
    <w:rsid w:val="005A3388"/>
    <w:rsid w:val="005A55B7"/>
    <w:rsid w:val="005A7CC8"/>
    <w:rsid w:val="005B0A36"/>
    <w:rsid w:val="005B6E79"/>
    <w:rsid w:val="005C15AB"/>
    <w:rsid w:val="005C2BBC"/>
    <w:rsid w:val="005D2109"/>
    <w:rsid w:val="005E178A"/>
    <w:rsid w:val="005F087A"/>
    <w:rsid w:val="005F1CF6"/>
    <w:rsid w:val="005F40C2"/>
    <w:rsid w:val="00606467"/>
    <w:rsid w:val="00607C6F"/>
    <w:rsid w:val="00614C1E"/>
    <w:rsid w:val="006230FD"/>
    <w:rsid w:val="006345DD"/>
    <w:rsid w:val="00640F42"/>
    <w:rsid w:val="00646FF5"/>
    <w:rsid w:val="00655D09"/>
    <w:rsid w:val="00655D9E"/>
    <w:rsid w:val="006566F4"/>
    <w:rsid w:val="00662064"/>
    <w:rsid w:val="00665A3F"/>
    <w:rsid w:val="0068557A"/>
    <w:rsid w:val="0069287F"/>
    <w:rsid w:val="0069471B"/>
    <w:rsid w:val="00694874"/>
    <w:rsid w:val="006A0841"/>
    <w:rsid w:val="006A2F5F"/>
    <w:rsid w:val="006A43A2"/>
    <w:rsid w:val="006A50D6"/>
    <w:rsid w:val="006A62FD"/>
    <w:rsid w:val="006A65A5"/>
    <w:rsid w:val="006B66E9"/>
    <w:rsid w:val="006B77C9"/>
    <w:rsid w:val="006B78C5"/>
    <w:rsid w:val="006B7A41"/>
    <w:rsid w:val="006C1EBB"/>
    <w:rsid w:val="006C351C"/>
    <w:rsid w:val="006C4135"/>
    <w:rsid w:val="006D627C"/>
    <w:rsid w:val="006E0206"/>
    <w:rsid w:val="006E059C"/>
    <w:rsid w:val="006E5331"/>
    <w:rsid w:val="006E5DF7"/>
    <w:rsid w:val="006E7877"/>
    <w:rsid w:val="00706C13"/>
    <w:rsid w:val="00706FDE"/>
    <w:rsid w:val="0070799B"/>
    <w:rsid w:val="00710E56"/>
    <w:rsid w:val="00711D69"/>
    <w:rsid w:val="0072236A"/>
    <w:rsid w:val="0073123C"/>
    <w:rsid w:val="00741C99"/>
    <w:rsid w:val="0074312D"/>
    <w:rsid w:val="00745A4B"/>
    <w:rsid w:val="007544F2"/>
    <w:rsid w:val="00754CEF"/>
    <w:rsid w:val="00760B98"/>
    <w:rsid w:val="00773EB8"/>
    <w:rsid w:val="00774249"/>
    <w:rsid w:val="00787BCF"/>
    <w:rsid w:val="007914AA"/>
    <w:rsid w:val="00791A6D"/>
    <w:rsid w:val="00791CC5"/>
    <w:rsid w:val="00796D71"/>
    <w:rsid w:val="007A6336"/>
    <w:rsid w:val="007B7345"/>
    <w:rsid w:val="007B7409"/>
    <w:rsid w:val="007B7A92"/>
    <w:rsid w:val="007C2DAD"/>
    <w:rsid w:val="007C3B91"/>
    <w:rsid w:val="007C72B9"/>
    <w:rsid w:val="007D43DB"/>
    <w:rsid w:val="007D6391"/>
    <w:rsid w:val="00803CF3"/>
    <w:rsid w:val="00803F8C"/>
    <w:rsid w:val="00805B6A"/>
    <w:rsid w:val="0081075A"/>
    <w:rsid w:val="008207AB"/>
    <w:rsid w:val="00830179"/>
    <w:rsid w:val="00836867"/>
    <w:rsid w:val="008626C5"/>
    <w:rsid w:val="0086622A"/>
    <w:rsid w:val="008820AA"/>
    <w:rsid w:val="0088273A"/>
    <w:rsid w:val="0088457E"/>
    <w:rsid w:val="00891697"/>
    <w:rsid w:val="00895522"/>
    <w:rsid w:val="00895C0D"/>
    <w:rsid w:val="008977D9"/>
    <w:rsid w:val="008B0107"/>
    <w:rsid w:val="008B25AC"/>
    <w:rsid w:val="008B2E9F"/>
    <w:rsid w:val="008B4125"/>
    <w:rsid w:val="008C48BF"/>
    <w:rsid w:val="008C6769"/>
    <w:rsid w:val="008D2669"/>
    <w:rsid w:val="008D2FE6"/>
    <w:rsid w:val="008D54F2"/>
    <w:rsid w:val="008F7847"/>
    <w:rsid w:val="00900DC6"/>
    <w:rsid w:val="00901199"/>
    <w:rsid w:val="0090361B"/>
    <w:rsid w:val="00907958"/>
    <w:rsid w:val="009121D1"/>
    <w:rsid w:val="009136CC"/>
    <w:rsid w:val="00930543"/>
    <w:rsid w:val="00936F56"/>
    <w:rsid w:val="00937301"/>
    <w:rsid w:val="00937A3B"/>
    <w:rsid w:val="009410FD"/>
    <w:rsid w:val="00941B24"/>
    <w:rsid w:val="0096118C"/>
    <w:rsid w:val="00961642"/>
    <w:rsid w:val="0096173C"/>
    <w:rsid w:val="00962300"/>
    <w:rsid w:val="00962F5C"/>
    <w:rsid w:val="009642E3"/>
    <w:rsid w:val="00965AD6"/>
    <w:rsid w:val="0097000C"/>
    <w:rsid w:val="00970A59"/>
    <w:rsid w:val="00971833"/>
    <w:rsid w:val="00972AAB"/>
    <w:rsid w:val="00975E55"/>
    <w:rsid w:val="00976FC8"/>
    <w:rsid w:val="00985516"/>
    <w:rsid w:val="00986262"/>
    <w:rsid w:val="00987B92"/>
    <w:rsid w:val="009907B8"/>
    <w:rsid w:val="009914F1"/>
    <w:rsid w:val="00992604"/>
    <w:rsid w:val="00992E51"/>
    <w:rsid w:val="00994BE8"/>
    <w:rsid w:val="009B00E8"/>
    <w:rsid w:val="009C0538"/>
    <w:rsid w:val="009C50E9"/>
    <w:rsid w:val="009D1147"/>
    <w:rsid w:val="009D7937"/>
    <w:rsid w:val="009D7C35"/>
    <w:rsid w:val="009F5C70"/>
    <w:rsid w:val="00A00D07"/>
    <w:rsid w:val="00A148BF"/>
    <w:rsid w:val="00A26776"/>
    <w:rsid w:val="00A309ED"/>
    <w:rsid w:val="00A366D5"/>
    <w:rsid w:val="00A37AB1"/>
    <w:rsid w:val="00A37FDD"/>
    <w:rsid w:val="00A429B3"/>
    <w:rsid w:val="00A44AB4"/>
    <w:rsid w:val="00A47230"/>
    <w:rsid w:val="00A513E7"/>
    <w:rsid w:val="00A562A0"/>
    <w:rsid w:val="00A60D2D"/>
    <w:rsid w:val="00A60E78"/>
    <w:rsid w:val="00A61BD2"/>
    <w:rsid w:val="00A81757"/>
    <w:rsid w:val="00A86093"/>
    <w:rsid w:val="00AA4C35"/>
    <w:rsid w:val="00AA7587"/>
    <w:rsid w:val="00AB3DD6"/>
    <w:rsid w:val="00AB5B5D"/>
    <w:rsid w:val="00AB7AFC"/>
    <w:rsid w:val="00AC3388"/>
    <w:rsid w:val="00AD7BEA"/>
    <w:rsid w:val="00AE21BA"/>
    <w:rsid w:val="00AE3CB3"/>
    <w:rsid w:val="00AF1A6D"/>
    <w:rsid w:val="00AF2D25"/>
    <w:rsid w:val="00B00E84"/>
    <w:rsid w:val="00B010A6"/>
    <w:rsid w:val="00B1091F"/>
    <w:rsid w:val="00B12289"/>
    <w:rsid w:val="00B13F8F"/>
    <w:rsid w:val="00B156EE"/>
    <w:rsid w:val="00B23333"/>
    <w:rsid w:val="00B27640"/>
    <w:rsid w:val="00B4095A"/>
    <w:rsid w:val="00B43294"/>
    <w:rsid w:val="00B46FBD"/>
    <w:rsid w:val="00B47597"/>
    <w:rsid w:val="00B54506"/>
    <w:rsid w:val="00B556D4"/>
    <w:rsid w:val="00B5573C"/>
    <w:rsid w:val="00B670C3"/>
    <w:rsid w:val="00B7393B"/>
    <w:rsid w:val="00B76343"/>
    <w:rsid w:val="00B87CA6"/>
    <w:rsid w:val="00B94A24"/>
    <w:rsid w:val="00B95D84"/>
    <w:rsid w:val="00BA1358"/>
    <w:rsid w:val="00BA1E10"/>
    <w:rsid w:val="00BA29A1"/>
    <w:rsid w:val="00BA388F"/>
    <w:rsid w:val="00BA6790"/>
    <w:rsid w:val="00BB292D"/>
    <w:rsid w:val="00BB29AE"/>
    <w:rsid w:val="00BC2E4A"/>
    <w:rsid w:val="00BC575B"/>
    <w:rsid w:val="00BC625C"/>
    <w:rsid w:val="00BE319F"/>
    <w:rsid w:val="00BE4158"/>
    <w:rsid w:val="00BE456B"/>
    <w:rsid w:val="00BF2B27"/>
    <w:rsid w:val="00BF5644"/>
    <w:rsid w:val="00C03B72"/>
    <w:rsid w:val="00C05EE1"/>
    <w:rsid w:val="00C0773F"/>
    <w:rsid w:val="00C07F7A"/>
    <w:rsid w:val="00C108A9"/>
    <w:rsid w:val="00C20A45"/>
    <w:rsid w:val="00C2300A"/>
    <w:rsid w:val="00C230C9"/>
    <w:rsid w:val="00C262E1"/>
    <w:rsid w:val="00C26728"/>
    <w:rsid w:val="00C4112B"/>
    <w:rsid w:val="00C4130A"/>
    <w:rsid w:val="00C417FF"/>
    <w:rsid w:val="00C441EA"/>
    <w:rsid w:val="00C44D35"/>
    <w:rsid w:val="00C516D3"/>
    <w:rsid w:val="00C51ADA"/>
    <w:rsid w:val="00C53089"/>
    <w:rsid w:val="00C645BC"/>
    <w:rsid w:val="00C67FB9"/>
    <w:rsid w:val="00C7101D"/>
    <w:rsid w:val="00C710C0"/>
    <w:rsid w:val="00C7540D"/>
    <w:rsid w:val="00C8041A"/>
    <w:rsid w:val="00C822CC"/>
    <w:rsid w:val="00C847C4"/>
    <w:rsid w:val="00C855C3"/>
    <w:rsid w:val="00CB4891"/>
    <w:rsid w:val="00CB67A0"/>
    <w:rsid w:val="00CB758C"/>
    <w:rsid w:val="00CC113D"/>
    <w:rsid w:val="00CC254E"/>
    <w:rsid w:val="00CC308C"/>
    <w:rsid w:val="00CC41D7"/>
    <w:rsid w:val="00CC4EB7"/>
    <w:rsid w:val="00CC762B"/>
    <w:rsid w:val="00CD0666"/>
    <w:rsid w:val="00CD416B"/>
    <w:rsid w:val="00CE2E2E"/>
    <w:rsid w:val="00CE632D"/>
    <w:rsid w:val="00CF2FEF"/>
    <w:rsid w:val="00CF62A5"/>
    <w:rsid w:val="00CF63C3"/>
    <w:rsid w:val="00D01E71"/>
    <w:rsid w:val="00D11B1A"/>
    <w:rsid w:val="00D27F98"/>
    <w:rsid w:val="00D32F53"/>
    <w:rsid w:val="00D37EA0"/>
    <w:rsid w:val="00D546B7"/>
    <w:rsid w:val="00D66414"/>
    <w:rsid w:val="00D71823"/>
    <w:rsid w:val="00D75844"/>
    <w:rsid w:val="00D77A54"/>
    <w:rsid w:val="00DA1D39"/>
    <w:rsid w:val="00DA316A"/>
    <w:rsid w:val="00DA6E5D"/>
    <w:rsid w:val="00DB57DF"/>
    <w:rsid w:val="00DB6FD0"/>
    <w:rsid w:val="00DD099B"/>
    <w:rsid w:val="00DE0126"/>
    <w:rsid w:val="00DE4780"/>
    <w:rsid w:val="00DE719F"/>
    <w:rsid w:val="00DF3790"/>
    <w:rsid w:val="00DF4F48"/>
    <w:rsid w:val="00E028E2"/>
    <w:rsid w:val="00E12E49"/>
    <w:rsid w:val="00E21BD6"/>
    <w:rsid w:val="00E22541"/>
    <w:rsid w:val="00E2696C"/>
    <w:rsid w:val="00E50385"/>
    <w:rsid w:val="00E513C2"/>
    <w:rsid w:val="00E63838"/>
    <w:rsid w:val="00E71556"/>
    <w:rsid w:val="00E73ACA"/>
    <w:rsid w:val="00E86E1E"/>
    <w:rsid w:val="00E96F9D"/>
    <w:rsid w:val="00EA3674"/>
    <w:rsid w:val="00EB4E10"/>
    <w:rsid w:val="00EB57B0"/>
    <w:rsid w:val="00EC07EF"/>
    <w:rsid w:val="00EC7E5E"/>
    <w:rsid w:val="00ED2FDF"/>
    <w:rsid w:val="00ED4C3B"/>
    <w:rsid w:val="00EE1FDD"/>
    <w:rsid w:val="00EF0DDA"/>
    <w:rsid w:val="00EF1AAD"/>
    <w:rsid w:val="00EF470B"/>
    <w:rsid w:val="00EF7919"/>
    <w:rsid w:val="00EF7E9C"/>
    <w:rsid w:val="00F04F28"/>
    <w:rsid w:val="00F221D3"/>
    <w:rsid w:val="00F23C70"/>
    <w:rsid w:val="00F24A70"/>
    <w:rsid w:val="00F27890"/>
    <w:rsid w:val="00F32B22"/>
    <w:rsid w:val="00F42D30"/>
    <w:rsid w:val="00F54CD5"/>
    <w:rsid w:val="00F66512"/>
    <w:rsid w:val="00F7087F"/>
    <w:rsid w:val="00F70913"/>
    <w:rsid w:val="00F82FF3"/>
    <w:rsid w:val="00F8423B"/>
    <w:rsid w:val="00F91B53"/>
    <w:rsid w:val="00FA0F7E"/>
    <w:rsid w:val="00FB2BD2"/>
    <w:rsid w:val="00FC19A0"/>
    <w:rsid w:val="00FC2FB7"/>
    <w:rsid w:val="00FC6631"/>
    <w:rsid w:val="00FD4255"/>
    <w:rsid w:val="00FE6A91"/>
    <w:rsid w:val="00F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5EE4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D25"/>
    <w:rPr>
      <w:rFonts w:ascii="Arial" w:hAnsi="Arial" w:cs="Arial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587"/>
    <w:pPr>
      <w:keepNext/>
      <w:keepLines/>
      <w:spacing w:before="240" w:after="0"/>
      <w:outlineLvl w:val="0"/>
    </w:pPr>
    <w:rPr>
      <w:rFonts w:eastAsia="Times New Roman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697"/>
    <w:pPr>
      <w:keepNext/>
      <w:keepLines/>
      <w:spacing w:before="120" w:after="120" w:line="240" w:lineRule="auto"/>
      <w:ind w:left="720" w:hanging="720"/>
      <w:jc w:val="both"/>
      <w:outlineLvl w:val="1"/>
    </w:pPr>
    <w:rPr>
      <w:rFonts w:eastAsiaTheme="majorEastAsia"/>
      <w:b/>
      <w:color w:val="595959" w:themeColor="text1" w:themeTint="A6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0C1B96"/>
    <w:pPr>
      <w:outlineLvl w:val="2"/>
    </w:pPr>
    <w:rPr>
      <w:color w:val="262626" w:themeColor="text1" w:themeTint="D9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E4780"/>
    <w:pPr>
      <w:spacing w:after="120" w:line="240" w:lineRule="auto"/>
    </w:pPr>
    <w:rPr>
      <w:rFonts w:eastAsiaTheme="majorEastAsia"/>
      <w:b/>
      <w:spacing w:val="-10"/>
      <w:kern w:val="28"/>
      <w:sz w:val="4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DE4780"/>
    <w:rPr>
      <w:rFonts w:ascii="Arial" w:eastAsiaTheme="majorEastAsia" w:hAnsi="Arial" w:cs="Arial"/>
      <w:b/>
      <w:spacing w:val="-10"/>
      <w:kern w:val="28"/>
      <w:sz w:val="48"/>
      <w:szCs w:val="38"/>
    </w:rPr>
  </w:style>
  <w:style w:type="paragraph" w:styleId="Header">
    <w:name w:val="header"/>
    <w:basedOn w:val="Normal"/>
    <w:link w:val="HeaderChar"/>
    <w:uiPriority w:val="99"/>
    <w:unhideWhenUsed/>
    <w:rsid w:val="002F3B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3BDA"/>
  </w:style>
  <w:style w:type="paragraph" w:styleId="Footer">
    <w:name w:val="footer"/>
    <w:basedOn w:val="Normal"/>
    <w:link w:val="FooterChar"/>
    <w:uiPriority w:val="99"/>
    <w:rsid w:val="002F3BDA"/>
    <w:pPr>
      <w:tabs>
        <w:tab w:val="center" w:pos="4513"/>
        <w:tab w:val="right" w:pos="9026"/>
      </w:tabs>
      <w:spacing w:after="0" w:line="240" w:lineRule="auto"/>
    </w:pPr>
    <w:rPr>
      <w:rFonts w:ascii="Lato" w:eastAsia="Calibri" w:hAnsi="Lato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F3BDA"/>
    <w:rPr>
      <w:rFonts w:ascii="Lato" w:eastAsia="Calibri" w:hAnsi="Lato" w:cs="Times New Roman"/>
    </w:rPr>
  </w:style>
  <w:style w:type="character" w:styleId="PageNumber">
    <w:name w:val="page number"/>
    <w:aliases w:val="Page number"/>
    <w:basedOn w:val="DefaultParagraphFont"/>
    <w:uiPriority w:val="8"/>
    <w:rsid w:val="002F3BDA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2F3BDA"/>
    <w:pPr>
      <w:spacing w:after="0" w:line="240" w:lineRule="auto"/>
    </w:pPr>
    <w:rPr>
      <w:rFonts w:ascii="Lato" w:eastAsia="Calibri" w:hAnsi="Lato" w:cs="Times New Roman"/>
      <w:sz w:val="2"/>
      <w:szCs w:val="2"/>
    </w:rPr>
  </w:style>
  <w:style w:type="table" w:customStyle="1" w:styleId="GridTable1Light1">
    <w:name w:val="Grid Table 1 Light1"/>
    <w:basedOn w:val="TableNormal"/>
    <w:next w:val="GridTable1Light"/>
    <w:uiPriority w:val="46"/>
    <w:rsid w:val="002F3BDA"/>
    <w:pPr>
      <w:spacing w:after="0" w:line="240" w:lineRule="auto"/>
    </w:pPr>
    <w:rPr>
      <w:rFonts w:ascii="Arial" w:eastAsia="Calibri" w:hAnsi="Arial" w:cs="Times New Roman"/>
    </w:rPr>
    <w:tblPr>
      <w:tblStyleRowBandSize w:val="1"/>
      <w:tblStyleColBandSize w:val="1"/>
      <w:tblBorders>
        <w:top w:val="single" w:sz="4" w:space="0" w:color="8B8BD9"/>
        <w:left w:val="single" w:sz="4" w:space="0" w:color="8B8BD9"/>
        <w:bottom w:val="single" w:sz="4" w:space="0" w:color="8B8BD9"/>
        <w:right w:val="single" w:sz="4" w:space="0" w:color="8B8BD9"/>
        <w:insideH w:val="single" w:sz="4" w:space="0" w:color="8B8BD9"/>
        <w:insideV w:val="single" w:sz="4" w:space="0" w:color="8B8BD9"/>
      </w:tblBorders>
    </w:tblPr>
    <w:tblStylePr w:type="firstRow">
      <w:rPr>
        <w:b/>
        <w:bCs/>
      </w:rPr>
      <w:tblPr/>
      <w:tcPr>
        <w:tcBorders>
          <w:bottom w:val="single" w:sz="12" w:space="0" w:color="5151C6"/>
        </w:tcBorders>
      </w:tcPr>
    </w:tblStylePr>
    <w:tblStylePr w:type="lastRow">
      <w:rPr>
        <w:b/>
        <w:bCs/>
      </w:rPr>
      <w:tblPr/>
      <w:tcPr>
        <w:tcBorders>
          <w:top w:val="double" w:sz="2" w:space="0" w:color="5151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2F3BD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4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F280E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BC625C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C625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A7587"/>
    <w:rPr>
      <w:rFonts w:ascii="Arial" w:eastAsia="Times New Roman" w:hAnsi="Arial" w:cs="Arial"/>
      <w:b/>
      <w:sz w:val="32"/>
      <w:szCs w:val="32"/>
      <w:lang w:eastAsia="en-AU"/>
    </w:rPr>
  </w:style>
  <w:style w:type="table" w:styleId="TableGrid">
    <w:name w:val="Table Grid"/>
    <w:basedOn w:val="TableNormal"/>
    <w:uiPriority w:val="39"/>
    <w:rsid w:val="00FE6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891697"/>
    <w:rPr>
      <w:rFonts w:ascii="Arial" w:eastAsiaTheme="majorEastAsia" w:hAnsi="Arial" w:cs="Arial"/>
      <w:b/>
      <w:color w:val="595959" w:themeColor="text1" w:themeTint="A6"/>
      <w:sz w:val="26"/>
      <w:szCs w:val="2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0C1B96"/>
    <w:rPr>
      <w:rFonts w:ascii="Arial" w:eastAsiaTheme="majorEastAsia" w:hAnsi="Arial" w:cs="Arial"/>
      <w:b/>
      <w:color w:val="262626" w:themeColor="text1" w:themeTint="D9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E2D09"/>
    <w:pPr>
      <w:spacing w:after="0" w:line="240" w:lineRule="auto"/>
    </w:pPr>
    <w:rPr>
      <w:rFonts w:ascii="Arial" w:hAnsi="Arial" w:cs="Arial"/>
      <w:lang w:eastAsia="en-AU"/>
    </w:rPr>
  </w:style>
  <w:style w:type="paragraph" w:customStyle="1" w:styleId="Paragraph">
    <w:name w:val="Paragraph"/>
    <w:basedOn w:val="Normal"/>
    <w:link w:val="ParagraphChar"/>
    <w:rsid w:val="008C6769"/>
    <w:pPr>
      <w:widowControl w:val="0"/>
      <w:spacing w:after="240" w:line="240" w:lineRule="auto"/>
      <w:ind w:left="1667" w:hanging="567"/>
      <w:jc w:val="both"/>
    </w:pPr>
    <w:rPr>
      <w:rFonts w:ascii="Helvetica" w:eastAsia="Times New Roman" w:hAnsi="Helvetica" w:cs="Times New Roman"/>
      <w:sz w:val="24"/>
      <w:szCs w:val="24"/>
    </w:rPr>
  </w:style>
  <w:style w:type="character" w:customStyle="1" w:styleId="DefinitionChar">
    <w:name w:val="Definition Char"/>
    <w:link w:val="Definition"/>
    <w:rsid w:val="008C6769"/>
    <w:rPr>
      <w:rFonts w:ascii="Helvetica" w:hAnsi="Helvetica"/>
      <w:sz w:val="24"/>
    </w:rPr>
  </w:style>
  <w:style w:type="character" w:customStyle="1" w:styleId="ParagraphChar">
    <w:name w:val="Paragraph Char"/>
    <w:link w:val="Paragraph"/>
    <w:rsid w:val="008C6769"/>
    <w:rPr>
      <w:rFonts w:ascii="Helvetica" w:eastAsia="Times New Roman" w:hAnsi="Helvetica" w:cs="Times New Roman"/>
      <w:sz w:val="24"/>
      <w:szCs w:val="24"/>
      <w:lang w:eastAsia="en-AU"/>
    </w:rPr>
  </w:style>
  <w:style w:type="paragraph" w:customStyle="1" w:styleId="Definition">
    <w:name w:val="Definition"/>
    <w:aliases w:val="dd"/>
    <w:basedOn w:val="Normal"/>
    <w:link w:val="DefinitionChar"/>
    <w:rsid w:val="008C6769"/>
    <w:pPr>
      <w:widowControl w:val="0"/>
      <w:spacing w:after="240" w:line="240" w:lineRule="auto"/>
      <w:ind w:left="1100"/>
      <w:jc w:val="both"/>
    </w:pPr>
    <w:rPr>
      <w:rFonts w:ascii="Helvetica" w:hAnsi="Helvetica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D84AA-37D8-4073-A9DE-3B6926A2D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Policy - Exclusive Rights of Burial</dc:title>
  <dc:subject/>
  <dc:creator/>
  <cp:keywords/>
  <dc:description/>
  <cp:lastModifiedBy/>
  <cp:revision>1</cp:revision>
  <dcterms:created xsi:type="dcterms:W3CDTF">2023-11-01T00:06:00Z</dcterms:created>
  <dcterms:modified xsi:type="dcterms:W3CDTF">2023-11-02T23:00:00Z</dcterms:modified>
</cp:coreProperties>
</file>