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322"/>
        <w:gridCol w:w="2332"/>
        <w:gridCol w:w="2347"/>
        <w:gridCol w:w="2347"/>
        <w:gridCol w:w="1320"/>
      </w:tblGrid>
      <w:tr w:rsidR="00AB4437" w:rsidRPr="00AB4437" w:rsidTr="008E6ACF">
        <w:trPr>
          <w:trHeight w:val="397"/>
        </w:trPr>
        <w:tc>
          <w:tcPr>
            <w:tcW w:w="5000" w:type="pct"/>
            <w:gridSpan w:val="5"/>
            <w:tcBorders>
              <w:top w:val="single" w:sz="4" w:space="0" w:color="auto"/>
              <w:left w:val="single" w:sz="4" w:space="0" w:color="auto"/>
              <w:bottom w:val="single" w:sz="4" w:space="0" w:color="auto"/>
              <w:right w:val="single" w:sz="4" w:space="0" w:color="000000"/>
            </w:tcBorders>
            <w:shd w:val="clear" w:color="000000" w:fill="92D050"/>
            <w:vAlign w:val="center"/>
            <w:hideMark/>
          </w:tcPr>
          <w:p w:rsidR="00AB4437" w:rsidRDefault="00AB4437" w:rsidP="00AB4437">
            <w:pPr>
              <w:jc w:val="center"/>
              <w:rPr>
                <w:rFonts w:eastAsia="Times New Roman" w:cs="Arial"/>
                <w:b/>
                <w:bCs/>
                <w:color w:val="000000"/>
                <w:lang w:eastAsia="en-AU"/>
              </w:rPr>
            </w:pPr>
            <w:r w:rsidRPr="00AB4437">
              <w:rPr>
                <w:rFonts w:eastAsia="Times New Roman" w:cs="Arial"/>
                <w:b/>
                <w:bCs/>
                <w:color w:val="000000"/>
                <w:lang w:eastAsia="en-AU"/>
              </w:rPr>
              <w:t>OPERATING INCOME</w:t>
            </w:r>
          </w:p>
          <w:p w:rsidR="00AB4437" w:rsidRPr="00AB4437" w:rsidRDefault="00AB4437" w:rsidP="00AB4437">
            <w:pPr>
              <w:jc w:val="center"/>
              <w:rPr>
                <w:rFonts w:eastAsia="Times New Roman" w:cs="Arial"/>
                <w:b/>
                <w:bCs/>
                <w:color w:val="000000"/>
                <w:lang w:eastAsia="en-AU"/>
              </w:rPr>
            </w:pPr>
          </w:p>
        </w:tc>
      </w:tr>
      <w:tr w:rsidR="008E6ACF"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tcPr>
          <w:p w:rsidR="008E6ACF" w:rsidRPr="00AB4437" w:rsidRDefault="008E6ACF" w:rsidP="00AB4437">
            <w:pPr>
              <w:rPr>
                <w:rFonts w:eastAsia="Times New Roman" w:cs="Arial"/>
                <w:b/>
                <w:bCs/>
                <w:color w:val="000000"/>
                <w:lang w:eastAsia="en-AU"/>
              </w:rPr>
            </w:pPr>
          </w:p>
        </w:tc>
        <w:tc>
          <w:tcPr>
            <w:tcW w:w="795" w:type="pct"/>
            <w:tcBorders>
              <w:top w:val="nil"/>
              <w:left w:val="nil"/>
              <w:bottom w:val="single" w:sz="4" w:space="0" w:color="auto"/>
              <w:right w:val="single" w:sz="4" w:space="0" w:color="auto"/>
            </w:tcBorders>
            <w:shd w:val="clear" w:color="000000" w:fill="FFFFFF"/>
            <w:vAlign w:val="center"/>
          </w:tcPr>
          <w:p w:rsidR="008E6ACF" w:rsidRPr="008E6ACF" w:rsidRDefault="008E6ACF" w:rsidP="00AB4437">
            <w:pPr>
              <w:rPr>
                <w:rFonts w:eastAsia="Times New Roman" w:cs="Arial"/>
                <w:b/>
                <w:color w:val="000000"/>
                <w:lang w:eastAsia="en-AU"/>
              </w:rPr>
            </w:pPr>
            <w:r>
              <w:rPr>
                <w:rFonts w:eastAsia="Times New Roman" w:cs="Arial"/>
                <w:b/>
                <w:color w:val="000000"/>
                <w:lang w:eastAsia="en-AU"/>
              </w:rPr>
              <w:t>Actual YTD</w:t>
            </w:r>
          </w:p>
        </w:tc>
        <w:tc>
          <w:tcPr>
            <w:tcW w:w="800" w:type="pct"/>
            <w:tcBorders>
              <w:top w:val="nil"/>
              <w:left w:val="nil"/>
              <w:bottom w:val="single" w:sz="4" w:space="0" w:color="auto"/>
              <w:right w:val="single" w:sz="4" w:space="0" w:color="auto"/>
            </w:tcBorders>
            <w:shd w:val="clear" w:color="000000" w:fill="FFFFFF"/>
            <w:vAlign w:val="center"/>
          </w:tcPr>
          <w:p w:rsidR="008E6ACF" w:rsidRPr="008E6ACF" w:rsidRDefault="008E6ACF" w:rsidP="008E6ACF">
            <w:pPr>
              <w:rPr>
                <w:rFonts w:eastAsia="Times New Roman" w:cs="Arial"/>
                <w:b/>
                <w:color w:val="000000"/>
                <w:lang w:eastAsia="en-AU"/>
              </w:rPr>
            </w:pPr>
            <w:r w:rsidRPr="008E6ACF">
              <w:rPr>
                <w:rFonts w:eastAsia="Times New Roman" w:cs="Arial"/>
                <w:b/>
                <w:color w:val="000000"/>
                <w:lang w:eastAsia="en-AU"/>
              </w:rPr>
              <w:t>Budget YTD</w:t>
            </w:r>
          </w:p>
        </w:tc>
        <w:tc>
          <w:tcPr>
            <w:tcW w:w="800" w:type="pct"/>
            <w:tcBorders>
              <w:top w:val="nil"/>
              <w:left w:val="nil"/>
              <w:bottom w:val="single" w:sz="4" w:space="0" w:color="auto"/>
              <w:right w:val="single" w:sz="4" w:space="0" w:color="auto"/>
            </w:tcBorders>
            <w:shd w:val="clear" w:color="000000" w:fill="FFFFFF"/>
            <w:vAlign w:val="center"/>
          </w:tcPr>
          <w:p w:rsidR="008E6ACF" w:rsidRPr="008E6ACF" w:rsidRDefault="008E6ACF" w:rsidP="008E6ACF">
            <w:pPr>
              <w:rPr>
                <w:rFonts w:eastAsia="Times New Roman" w:cs="Arial"/>
                <w:b/>
                <w:color w:val="000000"/>
                <w:lang w:eastAsia="en-AU"/>
              </w:rPr>
            </w:pPr>
            <w:r w:rsidRPr="008E6ACF">
              <w:rPr>
                <w:rFonts w:eastAsia="Times New Roman" w:cs="Arial"/>
                <w:b/>
                <w:color w:val="000000"/>
                <w:lang w:eastAsia="en-AU"/>
              </w:rPr>
              <w:t>Variance</w:t>
            </w:r>
          </w:p>
        </w:tc>
        <w:tc>
          <w:tcPr>
            <w:tcW w:w="450" w:type="pct"/>
            <w:tcBorders>
              <w:top w:val="nil"/>
              <w:left w:val="nil"/>
              <w:bottom w:val="single" w:sz="4" w:space="0" w:color="auto"/>
              <w:right w:val="single" w:sz="4" w:space="0" w:color="auto"/>
            </w:tcBorders>
            <w:shd w:val="clear" w:color="000000" w:fill="FFFFFF"/>
            <w:vAlign w:val="center"/>
          </w:tcPr>
          <w:p w:rsidR="008E6ACF" w:rsidRPr="008E6ACF" w:rsidRDefault="008E6ACF" w:rsidP="008E6ACF">
            <w:pPr>
              <w:rPr>
                <w:rFonts w:eastAsia="Times New Roman" w:cs="Arial"/>
                <w:b/>
                <w:color w:val="000000"/>
                <w:lang w:eastAsia="en-AU"/>
              </w:rPr>
            </w:pPr>
            <w:r w:rsidRPr="008E6ACF">
              <w:rPr>
                <w:rFonts w:eastAsia="Times New Roman" w:cs="Arial"/>
                <w:b/>
                <w:color w:val="000000"/>
                <w:lang w:eastAsia="en-AU"/>
              </w:rPr>
              <w:t>%</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Rates</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100,000.00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$200,000.00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-$100,000.00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50%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 xml:space="preserve">Fees and charges </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20,000.00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30,000.00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250%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 xml:space="preserve">Grants </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$600,000.00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-$100,000.00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83%</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Interest income</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100%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E2EFDA"/>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TOTAL OPERATING INCOME</w:t>
            </w:r>
          </w:p>
        </w:tc>
        <w:tc>
          <w:tcPr>
            <w:tcW w:w="795" w:type="pct"/>
            <w:tcBorders>
              <w:top w:val="nil"/>
              <w:left w:val="nil"/>
              <w:bottom w:val="single" w:sz="4" w:space="0" w:color="auto"/>
              <w:right w:val="single" w:sz="4" w:space="0" w:color="auto"/>
            </w:tcBorders>
            <w:shd w:val="clear" w:color="000000" w:fill="E2EFDA"/>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highlight w:val="yellow"/>
                <w:lang w:eastAsia="en-AU"/>
              </w:rPr>
              <w:t xml:space="preserve"> $            655,000.00 </w:t>
            </w:r>
          </w:p>
        </w:tc>
        <w:tc>
          <w:tcPr>
            <w:tcW w:w="800" w:type="pct"/>
            <w:tcBorders>
              <w:top w:val="nil"/>
              <w:left w:val="nil"/>
              <w:bottom w:val="single" w:sz="4" w:space="0" w:color="auto"/>
              <w:right w:val="single" w:sz="4" w:space="0" w:color="auto"/>
            </w:tcBorders>
            <w:shd w:val="clear" w:color="000000" w:fill="E2EFDA"/>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highlight w:val="yellow"/>
                <w:lang w:eastAsia="en-AU"/>
              </w:rPr>
              <w:t xml:space="preserve"> $825,000.00 </w:t>
            </w:r>
          </w:p>
        </w:tc>
        <w:tc>
          <w:tcPr>
            <w:tcW w:w="800" w:type="pct"/>
            <w:tcBorders>
              <w:top w:val="nil"/>
              <w:left w:val="nil"/>
              <w:bottom w:val="single" w:sz="4" w:space="0" w:color="auto"/>
              <w:right w:val="single" w:sz="4" w:space="0" w:color="auto"/>
            </w:tcBorders>
            <w:shd w:val="clear" w:color="000000" w:fill="E2EFDA"/>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highlight w:val="yellow"/>
                <w:lang w:eastAsia="en-AU"/>
              </w:rPr>
              <w:t xml:space="preserve">-$170,000.00 </w:t>
            </w:r>
          </w:p>
        </w:tc>
        <w:tc>
          <w:tcPr>
            <w:tcW w:w="450" w:type="pct"/>
            <w:tcBorders>
              <w:top w:val="nil"/>
              <w:left w:val="nil"/>
              <w:bottom w:val="single" w:sz="4" w:space="0" w:color="auto"/>
              <w:right w:val="single" w:sz="4" w:space="0" w:color="auto"/>
            </w:tcBorders>
            <w:shd w:val="clear" w:color="000000" w:fill="E2EFDA"/>
            <w:vAlign w:val="center"/>
            <w:hideMark/>
          </w:tcPr>
          <w:p w:rsidR="00AB4437" w:rsidRPr="00AB4437" w:rsidRDefault="00AB4437" w:rsidP="00AB4437">
            <w:pPr>
              <w:jc w:val="right"/>
              <w:rPr>
                <w:rFonts w:eastAsia="Times New Roman" w:cs="Arial"/>
                <w:b/>
                <w:bCs/>
                <w:color w:val="000000"/>
                <w:lang w:eastAsia="en-AU"/>
              </w:rPr>
            </w:pPr>
            <w:r w:rsidRPr="00AB4437">
              <w:rPr>
                <w:rFonts w:eastAsia="Times New Roman" w:cs="Arial"/>
                <w:b/>
                <w:bCs/>
                <w:color w:val="000000"/>
                <w:highlight w:val="yellow"/>
                <w:lang w:eastAsia="en-AU"/>
              </w:rPr>
              <w:t>79%</w:t>
            </w:r>
          </w:p>
        </w:tc>
      </w:tr>
      <w:tr w:rsidR="00AB4437" w:rsidRPr="00AB4437" w:rsidTr="008E6ACF">
        <w:trPr>
          <w:trHeight w:val="397"/>
        </w:trPr>
        <w:tc>
          <w:tcPr>
            <w:tcW w:w="5000" w:type="pct"/>
            <w:gridSpan w:val="5"/>
            <w:tcBorders>
              <w:top w:val="single" w:sz="4" w:space="0" w:color="auto"/>
              <w:left w:val="single" w:sz="4" w:space="0" w:color="auto"/>
              <w:bottom w:val="single" w:sz="4" w:space="0" w:color="auto"/>
              <w:right w:val="single" w:sz="4" w:space="0" w:color="000000"/>
            </w:tcBorders>
            <w:shd w:val="clear" w:color="000000" w:fill="FF5050"/>
            <w:vAlign w:val="center"/>
            <w:hideMark/>
          </w:tcPr>
          <w:p w:rsidR="00AB4437" w:rsidRPr="00AB4437" w:rsidRDefault="00AB4437" w:rsidP="00AB4437">
            <w:pPr>
              <w:jc w:val="center"/>
              <w:rPr>
                <w:rFonts w:eastAsia="Times New Roman" w:cs="Arial"/>
                <w:b/>
                <w:bCs/>
                <w:color w:val="000000"/>
                <w:lang w:eastAsia="en-AU"/>
              </w:rPr>
            </w:pPr>
            <w:r w:rsidRPr="00AB4437">
              <w:rPr>
                <w:rFonts w:eastAsia="Times New Roman" w:cs="Arial"/>
                <w:b/>
                <w:bCs/>
                <w:color w:val="000000"/>
                <w:lang w:eastAsia="en-AU"/>
              </w:rPr>
              <w:t>OPERATING EXPENSES</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Employee expenses</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300,000.00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$200,000.00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$ 100,000.00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150%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Lease expenses</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100%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Telephone and IT</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10,000.00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10,000.00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100%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Motor vehicle expenses</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3,000.00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3,000.00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100%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Materials and contracts</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100,000.00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50,000.00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200%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 xml:space="preserve">Elected member allowances </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5,000.00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100%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Local authority allowances</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2,000.00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2,000.00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Interest expenses</w:t>
            </w:r>
          </w:p>
        </w:tc>
        <w:tc>
          <w:tcPr>
            <w:tcW w:w="795"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3,000.00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3,000.00 </w:t>
            </w:r>
          </w:p>
        </w:tc>
        <w:tc>
          <w:tcPr>
            <w:tcW w:w="80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rPr>
                <w:rFonts w:eastAsia="Times New Roman" w:cs="Arial"/>
                <w:color w:val="000000"/>
                <w:lang w:eastAsia="en-AU"/>
              </w:rPr>
            </w:pPr>
            <w:r w:rsidRPr="00AB4437">
              <w:rPr>
                <w:rFonts w:eastAsia="Times New Roman" w:cs="Arial"/>
                <w:color w:val="000000"/>
                <w:lang w:eastAsia="en-AU"/>
              </w:rPr>
              <w:t xml:space="preserve"> $               -   </w:t>
            </w:r>
          </w:p>
        </w:tc>
        <w:tc>
          <w:tcPr>
            <w:tcW w:w="450" w:type="pct"/>
            <w:tcBorders>
              <w:top w:val="nil"/>
              <w:left w:val="nil"/>
              <w:bottom w:val="single" w:sz="4" w:space="0" w:color="auto"/>
              <w:right w:val="single" w:sz="4" w:space="0" w:color="auto"/>
            </w:tcBorders>
            <w:shd w:val="clear" w:color="000000" w:fill="FFFFFF"/>
            <w:vAlign w:val="center"/>
            <w:hideMark/>
          </w:tcPr>
          <w:p w:rsidR="00AB4437" w:rsidRPr="00AB4437" w:rsidRDefault="00AB4437" w:rsidP="00AB4437">
            <w:pPr>
              <w:jc w:val="right"/>
              <w:rPr>
                <w:rFonts w:eastAsia="Times New Roman" w:cs="Arial"/>
                <w:color w:val="000000"/>
                <w:lang w:eastAsia="en-AU"/>
              </w:rPr>
            </w:pPr>
            <w:r w:rsidRPr="00AB4437">
              <w:rPr>
                <w:rFonts w:eastAsia="Times New Roman" w:cs="Arial"/>
                <w:color w:val="000000"/>
                <w:lang w:eastAsia="en-AU"/>
              </w:rPr>
              <w:t>100%</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9999"/>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TOTAL OPERATING EXPENSES</w:t>
            </w:r>
          </w:p>
        </w:tc>
        <w:tc>
          <w:tcPr>
            <w:tcW w:w="795" w:type="pct"/>
            <w:tcBorders>
              <w:top w:val="nil"/>
              <w:left w:val="nil"/>
              <w:bottom w:val="single" w:sz="4" w:space="0" w:color="auto"/>
              <w:right w:val="single" w:sz="4" w:space="0" w:color="auto"/>
            </w:tcBorders>
            <w:shd w:val="clear" w:color="000000" w:fill="FF9999"/>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highlight w:val="yellow"/>
                <w:lang w:eastAsia="en-AU"/>
              </w:rPr>
              <w:t xml:space="preserve"> $            471,000.00 </w:t>
            </w:r>
          </w:p>
        </w:tc>
        <w:tc>
          <w:tcPr>
            <w:tcW w:w="800" w:type="pct"/>
            <w:tcBorders>
              <w:top w:val="nil"/>
              <w:left w:val="nil"/>
              <w:bottom w:val="single" w:sz="4" w:space="0" w:color="auto"/>
              <w:right w:val="single" w:sz="4" w:space="0" w:color="auto"/>
            </w:tcBorders>
            <w:shd w:val="clear" w:color="000000" w:fill="FF9999"/>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highlight w:val="yellow"/>
                <w:lang w:eastAsia="en-AU"/>
              </w:rPr>
              <w:t xml:space="preserve"> $323,000.00 </w:t>
            </w:r>
          </w:p>
        </w:tc>
        <w:tc>
          <w:tcPr>
            <w:tcW w:w="800" w:type="pct"/>
            <w:tcBorders>
              <w:top w:val="nil"/>
              <w:left w:val="nil"/>
              <w:bottom w:val="single" w:sz="4" w:space="0" w:color="auto"/>
              <w:right w:val="single" w:sz="4" w:space="0" w:color="auto"/>
            </w:tcBorders>
            <w:shd w:val="clear" w:color="000000" w:fill="FF9999"/>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highlight w:val="yellow"/>
                <w:lang w:eastAsia="en-AU"/>
              </w:rPr>
              <w:t xml:space="preserve"> $ 152,000.00 </w:t>
            </w:r>
          </w:p>
        </w:tc>
        <w:tc>
          <w:tcPr>
            <w:tcW w:w="450" w:type="pct"/>
            <w:tcBorders>
              <w:top w:val="nil"/>
              <w:left w:val="nil"/>
              <w:bottom w:val="single" w:sz="4" w:space="0" w:color="auto"/>
              <w:right w:val="single" w:sz="4" w:space="0" w:color="auto"/>
            </w:tcBorders>
            <w:shd w:val="clear" w:color="000000" w:fill="FF9999"/>
            <w:vAlign w:val="center"/>
            <w:hideMark/>
          </w:tcPr>
          <w:p w:rsidR="00AB4437" w:rsidRPr="00AB4437" w:rsidRDefault="00AB4437" w:rsidP="00AB4437">
            <w:pPr>
              <w:jc w:val="right"/>
              <w:rPr>
                <w:rFonts w:eastAsia="Times New Roman" w:cs="Arial"/>
                <w:b/>
                <w:bCs/>
                <w:color w:val="000000"/>
                <w:lang w:eastAsia="en-AU"/>
              </w:rPr>
            </w:pPr>
            <w:r w:rsidRPr="00AB4437">
              <w:rPr>
                <w:rFonts w:eastAsia="Times New Roman" w:cs="Arial"/>
                <w:b/>
                <w:bCs/>
                <w:color w:val="000000"/>
                <w:highlight w:val="yellow"/>
                <w:lang w:eastAsia="en-AU"/>
              </w:rPr>
              <w:t>146%</w:t>
            </w:r>
          </w:p>
        </w:tc>
      </w:tr>
      <w:tr w:rsidR="00AB4437" w:rsidRPr="00AB4437" w:rsidTr="008E6ACF">
        <w:trPr>
          <w:trHeight w:val="397"/>
        </w:trPr>
        <w:tc>
          <w:tcPr>
            <w:tcW w:w="2155" w:type="pct"/>
            <w:tcBorders>
              <w:top w:val="nil"/>
              <w:left w:val="single" w:sz="4" w:space="0" w:color="auto"/>
              <w:bottom w:val="single" w:sz="4" w:space="0" w:color="auto"/>
              <w:right w:val="single" w:sz="4" w:space="0" w:color="auto"/>
            </w:tcBorders>
            <w:shd w:val="clear" w:color="000000" w:fill="FFE699"/>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OPERATING SURPLUS/DEFICIT (Income - Expenses)</w:t>
            </w:r>
          </w:p>
        </w:tc>
        <w:tc>
          <w:tcPr>
            <w:tcW w:w="795" w:type="pct"/>
            <w:tcBorders>
              <w:top w:val="nil"/>
              <w:left w:val="nil"/>
              <w:bottom w:val="single" w:sz="4" w:space="0" w:color="auto"/>
              <w:right w:val="single" w:sz="4" w:space="0" w:color="auto"/>
            </w:tcBorders>
            <w:shd w:val="clear" w:color="000000" w:fill="FFE699"/>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highlight w:val="green"/>
                <w:lang w:eastAsia="en-AU"/>
              </w:rPr>
              <w:t xml:space="preserve"> $            184,000.00 </w:t>
            </w:r>
          </w:p>
        </w:tc>
        <w:tc>
          <w:tcPr>
            <w:tcW w:w="800" w:type="pct"/>
            <w:tcBorders>
              <w:top w:val="nil"/>
              <w:left w:val="nil"/>
              <w:bottom w:val="single" w:sz="4" w:space="0" w:color="auto"/>
              <w:right w:val="single" w:sz="4" w:space="0" w:color="auto"/>
            </w:tcBorders>
            <w:shd w:val="clear" w:color="000000" w:fill="FFE699"/>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 xml:space="preserve"> $502,000.00 </w:t>
            </w:r>
          </w:p>
        </w:tc>
        <w:tc>
          <w:tcPr>
            <w:tcW w:w="800" w:type="pct"/>
            <w:tcBorders>
              <w:top w:val="nil"/>
              <w:left w:val="nil"/>
              <w:bottom w:val="single" w:sz="4" w:space="0" w:color="auto"/>
              <w:right w:val="single" w:sz="4" w:space="0" w:color="auto"/>
            </w:tcBorders>
            <w:shd w:val="clear" w:color="000000" w:fill="FFE699"/>
            <w:vAlign w:val="center"/>
            <w:hideMark/>
          </w:tcPr>
          <w:p w:rsidR="00AB4437" w:rsidRPr="00AB4437" w:rsidRDefault="00AB4437" w:rsidP="00AB4437">
            <w:pPr>
              <w:rPr>
                <w:rFonts w:eastAsia="Times New Roman" w:cs="Arial"/>
                <w:b/>
                <w:bCs/>
                <w:color w:val="000000"/>
                <w:lang w:eastAsia="en-AU"/>
              </w:rPr>
            </w:pPr>
            <w:r w:rsidRPr="00AB4437">
              <w:rPr>
                <w:rFonts w:eastAsia="Times New Roman" w:cs="Arial"/>
                <w:b/>
                <w:bCs/>
                <w:color w:val="000000"/>
                <w:lang w:eastAsia="en-AU"/>
              </w:rPr>
              <w:t xml:space="preserve">-$318,000.00 </w:t>
            </w:r>
          </w:p>
        </w:tc>
        <w:tc>
          <w:tcPr>
            <w:tcW w:w="450" w:type="pct"/>
            <w:tcBorders>
              <w:top w:val="nil"/>
              <w:left w:val="nil"/>
              <w:bottom w:val="single" w:sz="4" w:space="0" w:color="auto"/>
              <w:right w:val="single" w:sz="4" w:space="0" w:color="auto"/>
            </w:tcBorders>
            <w:shd w:val="clear" w:color="000000" w:fill="FFE699"/>
            <w:vAlign w:val="center"/>
            <w:hideMark/>
          </w:tcPr>
          <w:p w:rsidR="00AB4437" w:rsidRPr="00AB4437" w:rsidRDefault="00AB4437" w:rsidP="00AB4437">
            <w:pPr>
              <w:jc w:val="right"/>
              <w:rPr>
                <w:rFonts w:eastAsia="Times New Roman" w:cs="Arial"/>
                <w:b/>
                <w:bCs/>
                <w:color w:val="000000"/>
                <w:lang w:eastAsia="en-AU"/>
              </w:rPr>
            </w:pPr>
            <w:r w:rsidRPr="00AB4437">
              <w:rPr>
                <w:rFonts w:eastAsia="Times New Roman" w:cs="Arial"/>
                <w:b/>
                <w:bCs/>
                <w:color w:val="000000"/>
                <w:lang w:eastAsia="en-AU"/>
              </w:rPr>
              <w:t>273%</w:t>
            </w:r>
          </w:p>
        </w:tc>
      </w:tr>
    </w:tbl>
    <w:p w:rsidR="001B66A6" w:rsidRDefault="001B66A6"/>
    <w:p w:rsidR="009D1CE2" w:rsidRPr="009D1CE2" w:rsidRDefault="00AB4437" w:rsidP="006B3A8E">
      <w:pPr>
        <w:spacing w:after="160" w:line="259" w:lineRule="auto"/>
        <w:rPr>
          <w:rFonts w:asciiTheme="minorHAnsi" w:eastAsia="Lato Light" w:hAnsi="Lato" w:cs="Lato Light"/>
          <w:color w:val="454347"/>
          <w:kern w:val="24"/>
          <w:sz w:val="28"/>
          <w:szCs w:val="28"/>
        </w:rPr>
      </w:pPr>
      <w:r>
        <w:rPr>
          <w:rFonts w:asciiTheme="minorHAnsi" w:eastAsia="Lato Light" w:hAnsi="Lato" w:cs="Lato Light"/>
          <w:color w:val="454347"/>
          <w:kern w:val="24"/>
          <w:sz w:val="28"/>
          <w:szCs w:val="28"/>
        </w:rPr>
        <w:br w:type="page"/>
      </w:r>
      <w:r w:rsidR="009D1CE2" w:rsidRPr="009D1CE2">
        <w:rPr>
          <w:rFonts w:asciiTheme="minorHAnsi" w:eastAsia="Lato Light" w:hAnsi="Lato" w:cs="Lato Light"/>
          <w:color w:val="454347"/>
          <w:kern w:val="24"/>
          <w:sz w:val="28"/>
          <w:szCs w:val="28"/>
        </w:rPr>
        <w:lastRenderedPageBreak/>
        <w:t xml:space="preserve">In the </w:t>
      </w:r>
      <w:r w:rsidR="006B3A8E">
        <w:rPr>
          <w:rFonts w:asciiTheme="minorHAnsi" w:eastAsia="Lato Light" w:hAnsi="Lato" w:cs="Lato Light"/>
          <w:color w:val="454347"/>
          <w:kern w:val="24"/>
          <w:sz w:val="28"/>
          <w:szCs w:val="28"/>
        </w:rPr>
        <w:t>income and expenditure</w:t>
      </w:r>
      <w:r w:rsidR="009D1CE2" w:rsidRPr="009D1CE2">
        <w:rPr>
          <w:rFonts w:asciiTheme="minorHAnsi" w:eastAsia="Lato Light" w:hAnsi="Lato" w:cs="Lato Light"/>
          <w:color w:val="454347"/>
          <w:kern w:val="24"/>
          <w:sz w:val="28"/>
          <w:szCs w:val="28"/>
        </w:rPr>
        <w:t xml:space="preserve"> statement example, there are a number of areas which vary or are different from the budget. </w:t>
      </w:r>
    </w:p>
    <w:p w:rsidR="009D1CE2" w:rsidRPr="009D1CE2" w:rsidRDefault="009D1CE2" w:rsidP="009D1CE2">
      <w:pPr>
        <w:pStyle w:val="NormalWeb"/>
        <w:spacing w:before="0" w:beforeAutospacing="0" w:after="0" w:afterAutospacing="0"/>
        <w:rPr>
          <w:rFonts w:asciiTheme="minorHAnsi" w:eastAsia="Lato Light" w:hAnsi="Lato" w:cs="Lato Light"/>
          <w:color w:val="454347"/>
          <w:kern w:val="24"/>
          <w:sz w:val="28"/>
          <w:szCs w:val="28"/>
        </w:rPr>
      </w:pPr>
    </w:p>
    <w:p w:rsidR="009D1CE2" w:rsidRPr="009D1CE2" w:rsidRDefault="009D1CE2" w:rsidP="009D1CE2">
      <w:pPr>
        <w:pStyle w:val="NormalWeb"/>
        <w:spacing w:before="0" w:beforeAutospacing="0" w:after="0" w:afterAutospacing="0"/>
        <w:rPr>
          <w:rFonts w:asciiTheme="minorHAnsi" w:eastAsia="Lato Light" w:hAnsi="Lato" w:cs="Lato Light"/>
          <w:color w:val="454347"/>
          <w:kern w:val="24"/>
          <w:sz w:val="28"/>
          <w:szCs w:val="28"/>
        </w:rPr>
      </w:pPr>
      <w:r w:rsidRPr="009D1CE2">
        <w:rPr>
          <w:rFonts w:asciiTheme="minorHAnsi" w:eastAsia="Lato Light" w:hAnsi="Lato" w:cs="Lato Light"/>
          <w:color w:val="454347"/>
          <w:kern w:val="24"/>
          <w:sz w:val="28"/>
          <w:szCs w:val="28"/>
        </w:rPr>
        <w:t>Early in the year there is likely to be more of a difference (</w:t>
      </w:r>
      <w:r w:rsidRPr="009D1CE2">
        <w:rPr>
          <w:rFonts w:asciiTheme="minorHAnsi" w:eastAsia="Lato Light" w:hAnsi="Lato" w:cs="Lato Light"/>
          <w:b/>
          <w:bCs/>
          <w:color w:val="454347"/>
          <w:kern w:val="24"/>
          <w:sz w:val="28"/>
          <w:szCs w:val="28"/>
        </w:rPr>
        <w:t>variance</w:t>
      </w:r>
      <w:r w:rsidRPr="009D1CE2">
        <w:rPr>
          <w:rFonts w:asciiTheme="minorHAnsi" w:eastAsia="Lato Light" w:hAnsi="Lato" w:cs="Lato Light"/>
          <w:color w:val="454347"/>
          <w:kern w:val="24"/>
          <w:sz w:val="28"/>
          <w:szCs w:val="28"/>
        </w:rPr>
        <w:t xml:space="preserve">).   Money is not spread evenly over the year.  It is sometimes hard to know when grant money and bills will come in.  But usually costs such as rent and salaries will remain about the same.  </w:t>
      </w:r>
    </w:p>
    <w:p w:rsidR="009D1CE2" w:rsidRPr="009D1CE2" w:rsidRDefault="009D1CE2" w:rsidP="009D1CE2">
      <w:pPr>
        <w:pStyle w:val="NormalWeb"/>
        <w:spacing w:before="0" w:beforeAutospacing="0" w:after="0" w:afterAutospacing="0"/>
        <w:rPr>
          <w:rFonts w:asciiTheme="minorHAnsi" w:eastAsia="Lato Light" w:hAnsi="Lato" w:cs="Lato Light"/>
          <w:color w:val="454347"/>
          <w:kern w:val="24"/>
          <w:sz w:val="28"/>
          <w:szCs w:val="28"/>
        </w:rPr>
      </w:pPr>
    </w:p>
    <w:p w:rsidR="009D1CE2" w:rsidRPr="009D1CE2" w:rsidRDefault="009D1CE2" w:rsidP="009D1CE2">
      <w:pPr>
        <w:pStyle w:val="NormalWeb"/>
        <w:spacing w:before="0" w:beforeAutospacing="0" w:after="0" w:afterAutospacing="0"/>
        <w:rPr>
          <w:rFonts w:asciiTheme="minorHAnsi" w:eastAsia="Lato Light" w:hAnsi="Lato" w:cs="Lato Light"/>
          <w:color w:val="454347"/>
          <w:kern w:val="24"/>
          <w:sz w:val="28"/>
          <w:szCs w:val="28"/>
        </w:rPr>
      </w:pPr>
      <w:r w:rsidRPr="009D1CE2">
        <w:rPr>
          <w:rFonts w:asciiTheme="minorHAnsi" w:eastAsia="Lato Light" w:hAnsi="Lato" w:cs="Lato Light"/>
          <w:color w:val="454347"/>
          <w:kern w:val="24"/>
          <w:sz w:val="28"/>
          <w:szCs w:val="28"/>
        </w:rPr>
        <w:t>If the organisation has suffered a loss or is in deficit then this should be explained or you should ask questions.</w:t>
      </w:r>
    </w:p>
    <w:p w:rsidR="009D1CE2" w:rsidRPr="009D1CE2" w:rsidRDefault="009D1CE2" w:rsidP="009D1CE2">
      <w:pPr>
        <w:pStyle w:val="NormalWeb"/>
        <w:spacing w:before="0" w:beforeAutospacing="0" w:after="0" w:afterAutospacing="0"/>
        <w:rPr>
          <w:rFonts w:asciiTheme="minorHAnsi" w:eastAsia="Lato Light" w:hAnsi="Lato" w:cs="Lato Light"/>
          <w:color w:val="454347"/>
          <w:kern w:val="24"/>
          <w:sz w:val="28"/>
          <w:szCs w:val="28"/>
        </w:rPr>
      </w:pPr>
    </w:p>
    <w:p w:rsidR="009D1CE2" w:rsidRPr="009D1CE2" w:rsidRDefault="009D1CE2" w:rsidP="009D1CE2">
      <w:pPr>
        <w:pStyle w:val="NormalWeb"/>
        <w:spacing w:before="0" w:beforeAutospacing="0" w:after="0" w:afterAutospacing="0"/>
        <w:rPr>
          <w:rFonts w:asciiTheme="minorHAnsi" w:eastAsia="Lato Light" w:hAnsi="Lato" w:cs="Lato Light"/>
          <w:color w:val="454347"/>
          <w:kern w:val="24"/>
          <w:sz w:val="28"/>
          <w:szCs w:val="28"/>
        </w:rPr>
      </w:pPr>
      <w:r w:rsidRPr="009D1CE2">
        <w:rPr>
          <w:rFonts w:asciiTheme="minorHAnsi" w:eastAsia="Lato Light" w:hAnsi="Lato" w:cs="Lato Light"/>
          <w:color w:val="454347"/>
          <w:kern w:val="24"/>
          <w:sz w:val="28"/>
          <w:szCs w:val="28"/>
        </w:rPr>
        <w:t>At the end of the year money received (</w:t>
      </w:r>
      <w:r w:rsidRPr="009D1CE2">
        <w:rPr>
          <w:rFonts w:asciiTheme="minorHAnsi" w:eastAsia="Lato Light" w:hAnsi="Lato" w:cs="Lato Light"/>
          <w:color w:val="00B050"/>
          <w:kern w:val="24"/>
          <w:sz w:val="28"/>
          <w:szCs w:val="28"/>
        </w:rPr>
        <w:t>income</w:t>
      </w:r>
      <w:r w:rsidRPr="009D1CE2">
        <w:rPr>
          <w:rFonts w:asciiTheme="minorHAnsi" w:eastAsia="Lato Light" w:hAnsi="Lato" w:cs="Lato Light"/>
          <w:color w:val="454347"/>
          <w:kern w:val="24"/>
          <w:sz w:val="28"/>
          <w:szCs w:val="28"/>
        </w:rPr>
        <w:t>) and money spent (</w:t>
      </w:r>
      <w:r w:rsidRPr="009D1CE2">
        <w:rPr>
          <w:rFonts w:asciiTheme="minorHAnsi" w:eastAsia="Lato Light" w:hAnsi="Lato" w:cs="Lato Light"/>
          <w:color w:val="FF0000"/>
          <w:kern w:val="24"/>
          <w:sz w:val="28"/>
          <w:szCs w:val="28"/>
        </w:rPr>
        <w:t>expenditure</w:t>
      </w:r>
      <w:r w:rsidRPr="009D1CE2">
        <w:rPr>
          <w:rFonts w:asciiTheme="minorHAnsi" w:eastAsia="Lato Light" w:hAnsi="Lato" w:cs="Lato Light"/>
          <w:color w:val="454347"/>
          <w:kern w:val="24"/>
          <w:sz w:val="28"/>
          <w:szCs w:val="28"/>
        </w:rPr>
        <w:t>) should line up closely to the budget.</w:t>
      </w:r>
    </w:p>
    <w:p w:rsidR="009D1CE2" w:rsidRPr="009D1CE2" w:rsidRDefault="009D1CE2" w:rsidP="009D1CE2">
      <w:pPr>
        <w:pStyle w:val="NormalWeb"/>
        <w:spacing w:before="0" w:beforeAutospacing="0" w:after="0" w:afterAutospacing="0"/>
        <w:rPr>
          <w:sz w:val="28"/>
          <w:szCs w:val="28"/>
        </w:rPr>
      </w:pPr>
    </w:p>
    <w:p w:rsidR="009D1CE2" w:rsidRPr="009D1CE2" w:rsidRDefault="009D1CE2" w:rsidP="009D1CE2">
      <w:pPr>
        <w:pStyle w:val="NormalWeb"/>
        <w:spacing w:before="0" w:beforeAutospacing="0" w:after="0" w:afterAutospacing="0"/>
        <w:rPr>
          <w:sz w:val="28"/>
          <w:szCs w:val="28"/>
        </w:rPr>
      </w:pPr>
      <w:r w:rsidRPr="009D1CE2">
        <w:rPr>
          <w:rFonts w:asciiTheme="minorHAnsi" w:eastAsiaTheme="minorEastAsia" w:hAnsi="Calibri" w:cstheme="minorBidi"/>
          <w:color w:val="000000" w:themeColor="text1"/>
          <w:kern w:val="24"/>
          <w:sz w:val="28"/>
          <w:szCs w:val="28"/>
        </w:rPr>
        <w:t xml:space="preserve">It is important to watch for areas where the income is lower than expected (in this case grants and rates). However sometimes grants are slow to come into the bank.  Or it may be that people have been given longer to pay their rates because of the impacts of COVID-19, or that they are just late.  </w:t>
      </w:r>
    </w:p>
    <w:p w:rsidR="009D1CE2" w:rsidRPr="009D1CE2" w:rsidRDefault="009D1CE2" w:rsidP="009D1CE2">
      <w:pPr>
        <w:pStyle w:val="NormalWeb"/>
        <w:spacing w:before="0" w:beforeAutospacing="0" w:after="0" w:afterAutospacing="0"/>
        <w:rPr>
          <w:rFonts w:asciiTheme="minorHAnsi" w:eastAsiaTheme="minorEastAsia" w:hAnsi="Calibri" w:cstheme="minorBidi"/>
          <w:color w:val="000000" w:themeColor="text1"/>
          <w:kern w:val="24"/>
          <w:sz w:val="28"/>
          <w:szCs w:val="28"/>
        </w:rPr>
      </w:pPr>
    </w:p>
    <w:p w:rsidR="009D1CE2" w:rsidRPr="009D1CE2" w:rsidRDefault="009D1CE2" w:rsidP="009D1CE2">
      <w:pPr>
        <w:pStyle w:val="NormalWeb"/>
        <w:spacing w:before="0" w:beforeAutospacing="0" w:after="0" w:afterAutospacing="0"/>
        <w:rPr>
          <w:rFonts w:asciiTheme="minorHAnsi" w:eastAsiaTheme="minorEastAsia" w:hAnsi="Calibri" w:cstheme="minorBidi"/>
          <w:color w:val="000000" w:themeColor="text1"/>
          <w:kern w:val="24"/>
          <w:sz w:val="28"/>
          <w:szCs w:val="28"/>
        </w:rPr>
      </w:pPr>
      <w:r w:rsidRPr="009D1CE2">
        <w:rPr>
          <w:rFonts w:asciiTheme="minorHAnsi" w:eastAsiaTheme="minorEastAsia" w:hAnsi="Calibri" w:cstheme="minorBidi"/>
          <w:color w:val="000000" w:themeColor="text1"/>
          <w:kern w:val="24"/>
          <w:sz w:val="28"/>
          <w:szCs w:val="28"/>
        </w:rPr>
        <w:t xml:space="preserve">It is also important to check if expenses are higher than expected. In this case materials and contracts have gone over the budget but there is often a lot of expenditure early in the year to get things underway. </w:t>
      </w:r>
      <w:r w:rsidRPr="009D1CE2">
        <w:rPr>
          <w:sz w:val="28"/>
          <w:szCs w:val="28"/>
        </w:rPr>
        <w:t xml:space="preserve"> </w:t>
      </w:r>
    </w:p>
    <w:p w:rsidR="009D1CE2" w:rsidRPr="009D1CE2" w:rsidRDefault="009D1CE2" w:rsidP="009D1CE2">
      <w:pPr>
        <w:pStyle w:val="NormalWeb"/>
        <w:spacing w:before="0" w:beforeAutospacing="0" w:after="0" w:afterAutospacing="0"/>
        <w:rPr>
          <w:rFonts w:asciiTheme="minorHAnsi" w:eastAsiaTheme="minorEastAsia" w:hAnsi="Calibri" w:cstheme="minorBidi"/>
          <w:color w:val="000000" w:themeColor="text1"/>
          <w:kern w:val="24"/>
          <w:sz w:val="28"/>
          <w:szCs w:val="28"/>
        </w:rPr>
      </w:pPr>
    </w:p>
    <w:p w:rsidR="009D1CE2" w:rsidRPr="009D1CE2" w:rsidRDefault="009D1CE2" w:rsidP="009D1CE2">
      <w:pPr>
        <w:rPr>
          <w:rFonts w:asciiTheme="minorHAnsi" w:eastAsiaTheme="minorEastAsia" w:hAnsi="Calibri"/>
          <w:color w:val="000000" w:themeColor="text1"/>
          <w:kern w:val="24"/>
          <w:sz w:val="28"/>
          <w:szCs w:val="28"/>
          <w:lang w:eastAsia="en-GB"/>
        </w:rPr>
      </w:pPr>
      <w:r w:rsidRPr="009D1CE2">
        <w:rPr>
          <w:rFonts w:asciiTheme="minorHAnsi" w:eastAsiaTheme="minorEastAsia" w:hAnsi="Calibri"/>
          <w:color w:val="000000" w:themeColor="text1"/>
          <w:kern w:val="24"/>
          <w:sz w:val="28"/>
          <w:szCs w:val="28"/>
          <w:lang w:eastAsia="en-GB"/>
        </w:rPr>
        <w:t xml:space="preserve">Also we can see employee expenses have gone over the amount expected in the budget – ask why this is so – maybe employees taking a lot of leave in August and leave loading is being paid or blocks of leave is being paid in advance or it could mean there was a need to pay more overtime to get important projects completed.  </w:t>
      </w:r>
    </w:p>
    <w:p w:rsidR="009D1CE2" w:rsidRPr="009D1CE2" w:rsidRDefault="009D1CE2" w:rsidP="009D1CE2">
      <w:pPr>
        <w:rPr>
          <w:rFonts w:ascii="Times New Roman" w:eastAsia="Times New Roman" w:hAnsi="Times New Roman" w:cs="Times New Roman"/>
          <w:sz w:val="28"/>
          <w:szCs w:val="28"/>
          <w:lang w:val="en-GB" w:eastAsia="en-GB"/>
        </w:rPr>
      </w:pPr>
    </w:p>
    <w:p w:rsidR="009D1CE2" w:rsidRDefault="009D1CE2" w:rsidP="000F7504">
      <w:pPr>
        <w:rPr>
          <w:rFonts w:asciiTheme="minorHAnsi" w:eastAsia="Lato Light" w:hAnsi="Lato" w:cs="Lato Light"/>
          <w:color w:val="454347"/>
          <w:kern w:val="24"/>
          <w:sz w:val="32"/>
          <w:szCs w:val="32"/>
          <w:lang w:eastAsia="en-AU"/>
        </w:rPr>
      </w:pPr>
      <w:r w:rsidRPr="009D1CE2">
        <w:rPr>
          <w:rFonts w:asciiTheme="minorHAnsi" w:eastAsiaTheme="minorEastAsia" w:hAnsi="Calibri"/>
          <w:color w:val="000000" w:themeColor="text1"/>
          <w:kern w:val="24"/>
          <w:sz w:val="28"/>
          <w:szCs w:val="28"/>
          <w:lang w:eastAsia="en-GB"/>
        </w:rPr>
        <w:t>Also note that there has been no expenditure for Local Authority allowances this month.  Why is this?  Does this mean that Local Authorities didn’</w:t>
      </w:r>
      <w:r w:rsidR="006B3A8E">
        <w:rPr>
          <w:rFonts w:asciiTheme="minorHAnsi" w:eastAsiaTheme="minorEastAsia" w:hAnsi="Calibri"/>
          <w:color w:val="000000" w:themeColor="text1"/>
          <w:kern w:val="24"/>
          <w:sz w:val="28"/>
          <w:szCs w:val="28"/>
          <w:lang w:eastAsia="en-GB"/>
        </w:rPr>
        <w:t>t meet?</w:t>
      </w:r>
      <w:bookmarkStart w:id="0" w:name="_GoBack"/>
      <w:bookmarkEnd w:id="0"/>
    </w:p>
    <w:sectPr w:rsidR="009D1CE2" w:rsidSect="006B3A8E">
      <w:headerReference w:type="default" r:id="rId6"/>
      <w:pgSz w:w="16838" w:h="11906" w:orient="landscape"/>
      <w:pgMar w:top="241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C3" w:rsidRDefault="00730CC3" w:rsidP="001B66A6">
      <w:r>
        <w:separator/>
      </w:r>
    </w:p>
  </w:endnote>
  <w:endnote w:type="continuationSeparator" w:id="0">
    <w:p w:rsidR="00730CC3" w:rsidRDefault="00730CC3" w:rsidP="001B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Light">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C3" w:rsidRDefault="00730CC3" w:rsidP="001B66A6">
      <w:r>
        <w:separator/>
      </w:r>
    </w:p>
  </w:footnote>
  <w:footnote w:type="continuationSeparator" w:id="0">
    <w:p w:rsidR="00730CC3" w:rsidRDefault="00730CC3" w:rsidP="001B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6A6" w:rsidRDefault="006B3A8E" w:rsidP="001B66A6">
    <w:pPr>
      <w:pStyle w:val="Heading1"/>
    </w:pPr>
    <w:r w:rsidRPr="00027515">
      <w:rPr>
        <w:b w:val="0"/>
        <w:bCs/>
        <w:noProof/>
      </w:rPr>
      <mc:AlternateContent>
        <mc:Choice Requires="wps">
          <w:drawing>
            <wp:anchor distT="45720" distB="45720" distL="114300" distR="114300" simplePos="0" relativeHeight="251661312" behindDoc="0" locked="0" layoutInCell="1" allowOverlap="1" wp14:anchorId="5540F2AC" wp14:editId="37AA9544">
              <wp:simplePos x="0" y="0"/>
              <wp:positionH relativeFrom="margin">
                <wp:align>left</wp:align>
              </wp:positionH>
              <wp:positionV relativeFrom="paragraph">
                <wp:posOffset>447675</wp:posOffset>
              </wp:positionV>
              <wp:extent cx="9734550" cy="1047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1047750"/>
                      </a:xfrm>
                      <a:prstGeom prst="rect">
                        <a:avLst/>
                      </a:prstGeom>
                      <a:solidFill>
                        <a:srgbClr val="0099BB"/>
                      </a:solidFill>
                      <a:ln w="9525">
                        <a:solidFill>
                          <a:srgbClr val="000000"/>
                        </a:solidFill>
                        <a:miter lim="800000"/>
                        <a:headEnd/>
                        <a:tailEnd/>
                      </a:ln>
                    </wps:spPr>
                    <wps:txbx>
                      <w:txbxContent>
                        <w:p w:rsidR="006B3A8E" w:rsidRPr="006B3A8E" w:rsidRDefault="006B3A8E" w:rsidP="006B3A8E">
                          <w:pPr>
                            <w:rPr>
                              <w:rFonts w:ascii="Lato Medium" w:hAnsi="Lato Medium"/>
                              <w:color w:val="FFFFFF" w:themeColor="background1"/>
                              <w:sz w:val="44"/>
                              <w:szCs w:val="44"/>
                            </w:rPr>
                          </w:pPr>
                          <w:r w:rsidRPr="006B3A8E">
                            <w:rPr>
                              <w:rFonts w:ascii="Lato Medium" w:hAnsi="Lato Medium"/>
                              <w:color w:val="FFFFFF" w:themeColor="background1"/>
                              <w:sz w:val="44"/>
                              <w:szCs w:val="44"/>
                            </w:rPr>
                            <w:t>Introduction to Council Finances</w:t>
                          </w:r>
                        </w:p>
                        <w:p w:rsidR="006B3A8E" w:rsidRPr="006B3A8E" w:rsidRDefault="006B3A8E" w:rsidP="006B3A8E">
                          <w:pPr>
                            <w:rPr>
                              <w:rFonts w:ascii="Lato Medium" w:hAnsi="Lato Medium"/>
                              <w:color w:val="FFFFFF" w:themeColor="background1"/>
                              <w:sz w:val="36"/>
                              <w:szCs w:val="36"/>
                            </w:rPr>
                          </w:pPr>
                        </w:p>
                        <w:p w:rsidR="006B3A8E" w:rsidRPr="006B3A8E" w:rsidRDefault="006B3A8E" w:rsidP="006B3A8E">
                          <w:pPr>
                            <w:rPr>
                              <w:rFonts w:ascii="Lato Medium" w:hAnsi="Lato Medium"/>
                              <w:color w:val="FFFFFF" w:themeColor="background1"/>
                              <w:sz w:val="36"/>
                              <w:szCs w:val="36"/>
                            </w:rPr>
                          </w:pPr>
                          <w:r w:rsidRPr="006B3A8E">
                            <w:rPr>
                              <w:rFonts w:ascii="Lato Medium" w:hAnsi="Lato Medium"/>
                              <w:color w:val="FFFFFF" w:themeColor="background1"/>
                              <w:sz w:val="36"/>
                              <w:szCs w:val="36"/>
                            </w:rPr>
                            <w:t>Income and Expenditure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0F2AC" id="_x0000_t202" coordsize="21600,21600" o:spt="202" path="m,l,21600r21600,l21600,xe">
              <v:stroke joinstyle="miter"/>
              <v:path gradientshapeok="t" o:connecttype="rect"/>
            </v:shapetype>
            <v:shape id="Text Box 2" o:spid="_x0000_s1026" type="#_x0000_t202" style="position:absolute;margin-left:0;margin-top:35.25pt;width:766.5pt;height:8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" fillcolor="#09b">
              <v:textbox>
                <w:txbxContent>
                  <w:p w:rsidR="006B3A8E" w:rsidRPr="006B3A8E" w:rsidRDefault="006B3A8E" w:rsidP="006B3A8E">
                    <w:pPr>
                      <w:rPr>
                        <w:rFonts w:ascii="Lato Medium" w:hAnsi="Lato Medium"/>
                        <w:color w:val="FFFFFF" w:themeColor="background1"/>
                        <w:sz w:val="44"/>
                        <w:szCs w:val="44"/>
                      </w:rPr>
                    </w:pPr>
                    <w:r w:rsidRPr="006B3A8E">
                      <w:rPr>
                        <w:rFonts w:ascii="Lato Medium" w:hAnsi="Lato Medium"/>
                        <w:color w:val="FFFFFF" w:themeColor="background1"/>
                        <w:sz w:val="44"/>
                        <w:szCs w:val="44"/>
                      </w:rPr>
                      <w:t>Introduction to Council Finances</w:t>
                    </w:r>
                  </w:p>
                  <w:p w:rsidR="006B3A8E" w:rsidRPr="006B3A8E" w:rsidRDefault="006B3A8E" w:rsidP="006B3A8E">
                    <w:pPr>
                      <w:rPr>
                        <w:rFonts w:ascii="Lato Medium" w:hAnsi="Lato Medium"/>
                        <w:color w:val="FFFFFF" w:themeColor="background1"/>
                        <w:sz w:val="36"/>
                        <w:szCs w:val="36"/>
                      </w:rPr>
                    </w:pPr>
                  </w:p>
                  <w:p w:rsidR="006B3A8E" w:rsidRPr="006B3A8E" w:rsidRDefault="006B3A8E" w:rsidP="006B3A8E">
                    <w:pPr>
                      <w:rPr>
                        <w:rFonts w:ascii="Lato Medium" w:hAnsi="Lato Medium"/>
                        <w:color w:val="FFFFFF" w:themeColor="background1"/>
                        <w:sz w:val="36"/>
                        <w:szCs w:val="36"/>
                      </w:rPr>
                    </w:pPr>
                    <w:r w:rsidRPr="006B3A8E">
                      <w:rPr>
                        <w:rFonts w:ascii="Lato Medium" w:hAnsi="Lato Medium"/>
                        <w:color w:val="FFFFFF" w:themeColor="background1"/>
                        <w:sz w:val="36"/>
                        <w:szCs w:val="36"/>
                      </w:rPr>
                      <w:t>Income and Expenditure Statement</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A6"/>
    <w:rsid w:val="000F7504"/>
    <w:rsid w:val="001B66A6"/>
    <w:rsid w:val="003871AB"/>
    <w:rsid w:val="005533B1"/>
    <w:rsid w:val="005D14D1"/>
    <w:rsid w:val="006B3A8E"/>
    <w:rsid w:val="00730CC3"/>
    <w:rsid w:val="00824679"/>
    <w:rsid w:val="00871B45"/>
    <w:rsid w:val="00893A04"/>
    <w:rsid w:val="008E6ACF"/>
    <w:rsid w:val="009D1CE2"/>
    <w:rsid w:val="00AB4437"/>
    <w:rsid w:val="00C12B87"/>
    <w:rsid w:val="00C8768E"/>
    <w:rsid w:val="00D16C81"/>
    <w:rsid w:val="00DF21F2"/>
    <w:rsid w:val="00ED5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A0689"/>
  <w15:chartTrackingRefBased/>
  <w15:docId w15:val="{2D906EDC-A921-4368-A360-5B412D5F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1F2"/>
    <w:pPr>
      <w:spacing w:after="0" w:line="240" w:lineRule="auto"/>
    </w:pPr>
    <w:rPr>
      <w:rFonts w:ascii="Arial" w:hAnsi="Arial"/>
    </w:rPr>
  </w:style>
  <w:style w:type="paragraph" w:styleId="Heading1">
    <w:name w:val="heading 1"/>
    <w:basedOn w:val="Normal"/>
    <w:next w:val="Normal"/>
    <w:link w:val="Heading1Char"/>
    <w:uiPriority w:val="9"/>
    <w:qFormat/>
    <w:rsid w:val="00ED5D0C"/>
    <w:pPr>
      <w:keepNext/>
      <w:keepLines/>
      <w:spacing w:before="240" w:line="259" w:lineRule="auto"/>
      <w:outlineLvl w:val="0"/>
    </w:pPr>
    <w:rPr>
      <w:rFonts w:eastAsia="Times New Roman" w:cs="Arial"/>
      <w:b/>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0C"/>
    <w:rPr>
      <w:rFonts w:ascii="Arial" w:eastAsia="Times New Roman" w:hAnsi="Arial" w:cs="Arial"/>
      <w:b/>
      <w:sz w:val="32"/>
      <w:szCs w:val="32"/>
      <w:lang w:eastAsia="en-AU"/>
    </w:rPr>
  </w:style>
  <w:style w:type="paragraph" w:styleId="Header">
    <w:name w:val="header"/>
    <w:basedOn w:val="Normal"/>
    <w:link w:val="HeaderChar"/>
    <w:uiPriority w:val="99"/>
    <w:unhideWhenUsed/>
    <w:rsid w:val="001B66A6"/>
    <w:pPr>
      <w:tabs>
        <w:tab w:val="center" w:pos="4513"/>
        <w:tab w:val="right" w:pos="9026"/>
      </w:tabs>
    </w:pPr>
  </w:style>
  <w:style w:type="character" w:customStyle="1" w:styleId="HeaderChar">
    <w:name w:val="Header Char"/>
    <w:basedOn w:val="DefaultParagraphFont"/>
    <w:link w:val="Header"/>
    <w:uiPriority w:val="99"/>
    <w:rsid w:val="001B66A6"/>
    <w:rPr>
      <w:rFonts w:ascii="Arial" w:hAnsi="Arial"/>
    </w:rPr>
  </w:style>
  <w:style w:type="paragraph" w:styleId="Footer">
    <w:name w:val="footer"/>
    <w:basedOn w:val="Normal"/>
    <w:link w:val="FooterChar"/>
    <w:uiPriority w:val="99"/>
    <w:unhideWhenUsed/>
    <w:rsid w:val="001B66A6"/>
    <w:pPr>
      <w:tabs>
        <w:tab w:val="center" w:pos="4513"/>
        <w:tab w:val="right" w:pos="9026"/>
      </w:tabs>
    </w:pPr>
  </w:style>
  <w:style w:type="character" w:customStyle="1" w:styleId="FooterChar">
    <w:name w:val="Footer Char"/>
    <w:basedOn w:val="DefaultParagraphFont"/>
    <w:link w:val="Footer"/>
    <w:uiPriority w:val="99"/>
    <w:rsid w:val="001B66A6"/>
    <w:rPr>
      <w:rFonts w:ascii="Arial" w:hAnsi="Arial"/>
    </w:rPr>
  </w:style>
  <w:style w:type="paragraph" w:styleId="NormalWeb">
    <w:name w:val="Normal (Web)"/>
    <w:basedOn w:val="Normal"/>
    <w:uiPriority w:val="99"/>
    <w:semiHidden/>
    <w:unhideWhenUsed/>
    <w:rsid w:val="005533B1"/>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7446">
      <w:bodyDiv w:val="1"/>
      <w:marLeft w:val="0"/>
      <w:marRight w:val="0"/>
      <w:marTop w:val="0"/>
      <w:marBottom w:val="0"/>
      <w:divBdr>
        <w:top w:val="none" w:sz="0" w:space="0" w:color="auto"/>
        <w:left w:val="none" w:sz="0" w:space="0" w:color="auto"/>
        <w:bottom w:val="none" w:sz="0" w:space="0" w:color="auto"/>
        <w:right w:val="none" w:sz="0" w:space="0" w:color="auto"/>
      </w:divBdr>
    </w:div>
    <w:div w:id="104545499">
      <w:bodyDiv w:val="1"/>
      <w:marLeft w:val="0"/>
      <w:marRight w:val="0"/>
      <w:marTop w:val="0"/>
      <w:marBottom w:val="0"/>
      <w:divBdr>
        <w:top w:val="none" w:sz="0" w:space="0" w:color="auto"/>
        <w:left w:val="none" w:sz="0" w:space="0" w:color="auto"/>
        <w:bottom w:val="none" w:sz="0" w:space="0" w:color="auto"/>
        <w:right w:val="none" w:sz="0" w:space="0" w:color="auto"/>
      </w:divBdr>
    </w:div>
    <w:div w:id="870414692">
      <w:bodyDiv w:val="1"/>
      <w:marLeft w:val="0"/>
      <w:marRight w:val="0"/>
      <w:marTop w:val="0"/>
      <w:marBottom w:val="0"/>
      <w:divBdr>
        <w:top w:val="none" w:sz="0" w:space="0" w:color="auto"/>
        <w:left w:val="none" w:sz="0" w:space="0" w:color="auto"/>
        <w:bottom w:val="none" w:sz="0" w:space="0" w:color="auto"/>
        <w:right w:val="none" w:sz="0" w:space="0" w:color="auto"/>
      </w:divBdr>
    </w:div>
    <w:div w:id="1826162996">
      <w:bodyDiv w:val="1"/>
      <w:marLeft w:val="0"/>
      <w:marRight w:val="0"/>
      <w:marTop w:val="0"/>
      <w:marBottom w:val="0"/>
      <w:divBdr>
        <w:top w:val="none" w:sz="0" w:space="0" w:color="auto"/>
        <w:left w:val="none" w:sz="0" w:space="0" w:color="auto"/>
        <w:bottom w:val="none" w:sz="0" w:space="0" w:color="auto"/>
        <w:right w:val="none" w:sz="0" w:space="0" w:color="auto"/>
      </w:divBdr>
    </w:div>
    <w:div w:id="213532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Northern Territory Government</dc:creator>
  <cp:keywords/>
  <dc:description/>
  <cp:lastModifiedBy>Linda Weatherhead</cp:lastModifiedBy>
  <cp:revision>7</cp:revision>
  <dcterms:created xsi:type="dcterms:W3CDTF">2022-01-19T05:22:00Z</dcterms:created>
  <dcterms:modified xsi:type="dcterms:W3CDTF">2022-04-04T04:29:00Z</dcterms:modified>
</cp:coreProperties>
</file>